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FCC" w:rsidRPr="009E179E" w:rsidRDefault="009D515F">
      <w:pPr>
        <w:jc w:val="center"/>
        <w:rPr>
          <w:rFonts w:ascii="Verdana" w:hAnsi="Verdana" w:cs="Verdana"/>
          <w:sz w:val="52"/>
          <w:szCs w:val="52"/>
        </w:rPr>
      </w:pPr>
      <w:bookmarkStart w:id="0" w:name="_GoBack"/>
      <w:bookmarkEnd w:id="0"/>
      <w:r w:rsidRPr="009E179E">
        <w:rPr>
          <w:rFonts w:ascii="Verdana" w:hAnsi="Verdana" w:cs="Verdana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75FCC" w:rsidRPr="009E179E">
        <w:rPr>
          <w:rFonts w:ascii="Verdana" w:hAnsi="Verdana" w:cs="Verdana"/>
          <w:sz w:val="52"/>
          <w:szCs w:val="5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75FCC" w:rsidRPr="009E179E" w:rsidRDefault="00C75FCC">
      <w:pPr>
        <w:jc w:val="center"/>
        <w:rPr>
          <w:rFonts w:ascii="Verdana" w:hAnsi="Verdana" w:cs="Verdana"/>
          <w:sz w:val="52"/>
          <w:szCs w:val="52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52"/>
          <w:szCs w:val="52"/>
        </w:rPr>
      </w:pPr>
    </w:p>
    <w:p w:rsidR="00C75FCC" w:rsidRPr="009E179E" w:rsidRDefault="00C75FCC" w:rsidP="002A44CD">
      <w:pPr>
        <w:rPr>
          <w:rFonts w:ascii="Verdana" w:hAnsi="Verdana" w:cs="Verdana"/>
          <w:sz w:val="56"/>
          <w:szCs w:val="56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56"/>
          <w:szCs w:val="56"/>
        </w:rPr>
      </w:pPr>
    </w:p>
    <w:p w:rsidR="00C75FCC" w:rsidRPr="009E179E" w:rsidRDefault="00C75FCC" w:rsidP="00355DB6">
      <w:pPr>
        <w:jc w:val="center"/>
        <w:outlineLvl w:val="0"/>
        <w:rPr>
          <w:rFonts w:ascii="Verdana" w:hAnsi="Verdana" w:cs="Verdana"/>
          <w:sz w:val="56"/>
          <w:szCs w:val="56"/>
        </w:rPr>
      </w:pPr>
      <w:r w:rsidRPr="009E179E">
        <w:rPr>
          <w:rFonts w:ascii="Verdana" w:hAnsi="Verdana" w:cs="Verdana"/>
          <w:sz w:val="56"/>
          <w:szCs w:val="56"/>
        </w:rPr>
        <w:t>TERMÔMETRO DE VENDAS</w:t>
      </w:r>
    </w:p>
    <w:p w:rsidR="00C75FCC" w:rsidRPr="009E179E" w:rsidRDefault="00C11810" w:rsidP="00355DB6">
      <w:pPr>
        <w:jc w:val="center"/>
        <w:outlineLvl w:val="0"/>
        <w:rPr>
          <w:rFonts w:ascii="Verdana" w:hAnsi="Verdana" w:cs="Verdana"/>
          <w:sz w:val="56"/>
          <w:szCs w:val="56"/>
        </w:rPr>
      </w:pPr>
      <w:r>
        <w:rPr>
          <w:rFonts w:ascii="Verdana" w:hAnsi="Verdana" w:cs="Verdana"/>
          <w:sz w:val="56"/>
          <w:szCs w:val="56"/>
        </w:rPr>
        <w:t>Fevereiro</w:t>
      </w:r>
      <w:r w:rsidR="00C75FCC" w:rsidRPr="009E179E">
        <w:rPr>
          <w:rFonts w:ascii="Verdana" w:hAnsi="Verdana" w:cs="Verdana"/>
          <w:sz w:val="56"/>
          <w:szCs w:val="56"/>
        </w:rPr>
        <w:t>/201</w:t>
      </w:r>
      <w:r w:rsidR="009E179E" w:rsidRPr="009E179E">
        <w:rPr>
          <w:rFonts w:ascii="Verdana" w:hAnsi="Verdana" w:cs="Verdana"/>
          <w:sz w:val="56"/>
          <w:szCs w:val="56"/>
        </w:rPr>
        <w:t>5</w:t>
      </w:r>
    </w:p>
    <w:p w:rsidR="00C75FCC" w:rsidRPr="009E179E" w:rsidRDefault="00C75FCC">
      <w:pPr>
        <w:jc w:val="center"/>
        <w:rPr>
          <w:rFonts w:ascii="Verdana" w:hAnsi="Verdana" w:cs="Verdana"/>
          <w:b/>
          <w:bCs/>
          <w:sz w:val="52"/>
          <w:szCs w:val="52"/>
        </w:rPr>
      </w:pPr>
    </w:p>
    <w:p w:rsidR="00C75FCC" w:rsidRPr="009E179E" w:rsidRDefault="00C75FCC">
      <w:pPr>
        <w:jc w:val="center"/>
        <w:rPr>
          <w:rFonts w:ascii="Verdana" w:hAnsi="Verdana" w:cs="Verdana"/>
          <w:b/>
          <w:bCs/>
          <w:sz w:val="52"/>
          <w:szCs w:val="52"/>
        </w:rPr>
      </w:pPr>
    </w:p>
    <w:p w:rsidR="00C75FCC" w:rsidRPr="009E179E" w:rsidRDefault="00C75FCC">
      <w:pPr>
        <w:rPr>
          <w:rFonts w:ascii="Verdana" w:hAnsi="Verdana" w:cs="Verdana"/>
          <w:b/>
          <w:bCs/>
          <w:sz w:val="24"/>
          <w:szCs w:val="24"/>
        </w:rPr>
      </w:pPr>
    </w:p>
    <w:p w:rsidR="00C75FCC" w:rsidRPr="009E179E" w:rsidRDefault="00C75FCC">
      <w:pPr>
        <w:rPr>
          <w:rFonts w:ascii="Verdana" w:hAnsi="Verdana" w:cs="Verdana"/>
          <w:b/>
          <w:bCs/>
          <w:sz w:val="24"/>
          <w:szCs w:val="24"/>
        </w:rPr>
      </w:pPr>
    </w:p>
    <w:p w:rsidR="00C75FCC" w:rsidRPr="009E179E" w:rsidRDefault="00C75FCC">
      <w:pPr>
        <w:rPr>
          <w:rFonts w:ascii="Verdana" w:hAnsi="Verdana" w:cs="Verdana"/>
          <w:sz w:val="28"/>
          <w:szCs w:val="28"/>
        </w:rPr>
      </w:pPr>
    </w:p>
    <w:p w:rsidR="00C75FCC" w:rsidRPr="009E179E" w:rsidRDefault="00C75FCC">
      <w:pPr>
        <w:jc w:val="right"/>
        <w:rPr>
          <w:rFonts w:ascii="Verdana" w:hAnsi="Verdana" w:cs="Verdana"/>
          <w:b/>
          <w:bCs/>
          <w:sz w:val="24"/>
          <w:szCs w:val="24"/>
        </w:rPr>
      </w:pPr>
      <w:bookmarkStart w:id="1" w:name="_Toc166983879"/>
    </w:p>
    <w:p w:rsidR="00C75FCC" w:rsidRPr="009E179E" w:rsidRDefault="00C75FCC">
      <w:pPr>
        <w:jc w:val="right"/>
        <w:rPr>
          <w:rFonts w:ascii="Verdana" w:hAnsi="Verdana" w:cs="Verdana"/>
          <w:b/>
          <w:bCs/>
          <w:sz w:val="24"/>
          <w:szCs w:val="24"/>
        </w:rPr>
      </w:pPr>
    </w:p>
    <w:p w:rsidR="00C75FCC" w:rsidRPr="009E179E" w:rsidRDefault="00C75FCC">
      <w:pPr>
        <w:jc w:val="right"/>
        <w:rPr>
          <w:rFonts w:ascii="Verdana" w:hAnsi="Verdana" w:cs="Verdana"/>
          <w:b/>
          <w:bCs/>
          <w:sz w:val="32"/>
          <w:szCs w:val="32"/>
        </w:rPr>
      </w:pPr>
    </w:p>
    <w:p w:rsidR="00C75FCC" w:rsidRPr="009E179E" w:rsidRDefault="00C75FCC">
      <w:pPr>
        <w:jc w:val="right"/>
        <w:rPr>
          <w:rFonts w:ascii="Verdana" w:hAnsi="Verdana" w:cs="Verdana"/>
          <w:b/>
          <w:bCs/>
          <w:sz w:val="32"/>
          <w:szCs w:val="32"/>
        </w:rPr>
      </w:pPr>
    </w:p>
    <w:bookmarkEnd w:id="1"/>
    <w:p w:rsidR="00C11810" w:rsidRDefault="00C11810" w:rsidP="00C11810">
      <w:pPr>
        <w:jc w:val="right"/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Elaborado: Economia - Pesquisa &amp; Mercado</w:t>
      </w:r>
    </w:p>
    <w:p w:rsidR="00C11810" w:rsidRDefault="00C11810" w:rsidP="00C11810">
      <w:pPr>
        <w:jc w:val="right"/>
        <w:rPr>
          <w:rFonts w:ascii="Verdana" w:hAnsi="Verdana"/>
          <w:b/>
          <w:bCs/>
          <w:sz w:val="32"/>
        </w:rPr>
      </w:pPr>
    </w:p>
    <w:p w:rsidR="00C11810" w:rsidRPr="00D95307" w:rsidRDefault="00C11810" w:rsidP="00C11810">
      <w:pPr>
        <w:jc w:val="right"/>
        <w:rPr>
          <w:rFonts w:ascii="Verdana" w:hAnsi="Verdana"/>
          <w:b/>
          <w:bCs/>
          <w:szCs w:val="24"/>
        </w:rPr>
      </w:pPr>
      <w:r w:rsidRPr="00D95307">
        <w:rPr>
          <w:rFonts w:ascii="Verdana" w:hAnsi="Verdana"/>
          <w:b/>
          <w:bCs/>
          <w:szCs w:val="24"/>
        </w:rPr>
        <w:t>Equipe Técnica:  Economista – Ana Pala Bastos</w:t>
      </w:r>
    </w:p>
    <w:p w:rsidR="00C11810" w:rsidRPr="00D95307" w:rsidRDefault="00C11810" w:rsidP="00C11810">
      <w:pPr>
        <w:jc w:val="right"/>
        <w:rPr>
          <w:rFonts w:ascii="Verdana" w:hAnsi="Verdana"/>
          <w:b/>
          <w:bCs/>
          <w:szCs w:val="24"/>
        </w:rPr>
      </w:pPr>
      <w:r w:rsidRPr="00D95307">
        <w:rPr>
          <w:rFonts w:ascii="Verdana" w:hAnsi="Verdana"/>
          <w:b/>
          <w:bCs/>
          <w:szCs w:val="24"/>
        </w:rPr>
        <w:t>Estatística</w:t>
      </w:r>
      <w:r w:rsidR="00B85664">
        <w:rPr>
          <w:rFonts w:ascii="Verdana" w:hAnsi="Verdana"/>
          <w:b/>
          <w:bCs/>
          <w:szCs w:val="24"/>
        </w:rPr>
        <w:t xml:space="preserve"> - </w:t>
      </w:r>
      <w:r w:rsidRPr="00D95307">
        <w:rPr>
          <w:rFonts w:ascii="Verdana" w:hAnsi="Verdana"/>
          <w:b/>
          <w:bCs/>
          <w:szCs w:val="24"/>
        </w:rPr>
        <w:t>Sarah Ribeiro</w:t>
      </w:r>
    </w:p>
    <w:p w:rsidR="00C11810" w:rsidRDefault="00C11810" w:rsidP="00C11810">
      <w:pPr>
        <w:jc w:val="right"/>
        <w:rPr>
          <w:rFonts w:ascii="Verdana" w:hAnsi="Verdana"/>
          <w:b/>
          <w:bCs/>
          <w:szCs w:val="24"/>
        </w:rPr>
      </w:pPr>
      <w:r w:rsidRPr="00D95307">
        <w:rPr>
          <w:rFonts w:ascii="Verdana" w:hAnsi="Verdana"/>
          <w:b/>
          <w:bCs/>
          <w:szCs w:val="24"/>
        </w:rPr>
        <w:t>Analista</w:t>
      </w:r>
      <w:r>
        <w:rPr>
          <w:rFonts w:ascii="Verdana" w:hAnsi="Verdana"/>
          <w:b/>
          <w:bCs/>
          <w:szCs w:val="24"/>
        </w:rPr>
        <w:t xml:space="preserve"> </w:t>
      </w:r>
      <w:r w:rsidRPr="00D95307">
        <w:rPr>
          <w:rFonts w:ascii="Verdana" w:hAnsi="Verdana"/>
          <w:b/>
          <w:bCs/>
          <w:szCs w:val="24"/>
        </w:rPr>
        <w:t>- Francisco Rocha</w:t>
      </w:r>
    </w:p>
    <w:p w:rsidR="00C11810" w:rsidRPr="00D95307" w:rsidRDefault="00C11810" w:rsidP="00C11810">
      <w:pPr>
        <w:jc w:val="right"/>
        <w:rPr>
          <w:rFonts w:ascii="Verdana" w:hAnsi="Verdana"/>
          <w:b/>
          <w:bCs/>
          <w:szCs w:val="24"/>
        </w:rPr>
      </w:pPr>
      <w:r>
        <w:rPr>
          <w:rFonts w:ascii="Verdana" w:hAnsi="Verdana"/>
          <w:b/>
          <w:bCs/>
          <w:szCs w:val="24"/>
        </w:rPr>
        <w:t>Técnico em Pesquisa - Amanda Santos</w:t>
      </w: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8A002A" w:rsidRPr="009E179E" w:rsidRDefault="008A002A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75FCC">
      <w:pPr>
        <w:jc w:val="center"/>
        <w:rPr>
          <w:rFonts w:ascii="Verdana" w:hAnsi="Verdana" w:cs="Verdana"/>
          <w:sz w:val="24"/>
          <w:szCs w:val="24"/>
        </w:rPr>
      </w:pPr>
    </w:p>
    <w:p w:rsidR="00C75FCC" w:rsidRPr="009E179E" w:rsidRDefault="00C11810">
      <w:pPr>
        <w:jc w:val="center"/>
        <w:rPr>
          <w:rFonts w:ascii="Verdana" w:hAnsi="Verdana" w:cs="Verdana"/>
          <w:sz w:val="24"/>
          <w:szCs w:val="24"/>
        </w:rPr>
        <w:sectPr w:rsidR="00C75FCC" w:rsidRPr="009E179E" w:rsidSect="00991887">
          <w:headerReference w:type="default" r:id="rId9"/>
          <w:footerReference w:type="default" r:id="rId10"/>
          <w:type w:val="oddPage"/>
          <w:pgSz w:w="11907" w:h="16840" w:code="9"/>
          <w:pgMar w:top="1418" w:right="851" w:bottom="1287" w:left="851" w:header="284" w:footer="197" w:gutter="0"/>
          <w:cols w:space="720"/>
        </w:sectPr>
      </w:pPr>
      <w:r>
        <w:rPr>
          <w:rFonts w:ascii="Verdana" w:hAnsi="Verdana" w:cs="Verdana"/>
          <w:sz w:val="24"/>
          <w:szCs w:val="24"/>
        </w:rPr>
        <w:t>Abril</w:t>
      </w:r>
      <w:r w:rsidR="009E179E">
        <w:rPr>
          <w:rFonts w:ascii="Verdana" w:hAnsi="Verdana" w:cs="Verdana"/>
          <w:sz w:val="24"/>
          <w:szCs w:val="24"/>
        </w:rPr>
        <w:t>/2015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9E179E" w:rsidRPr="009E179E" w:rsidTr="00DB5B89">
        <w:tc>
          <w:tcPr>
            <w:tcW w:w="10345" w:type="dxa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C75FCC" w:rsidRPr="009E179E" w:rsidRDefault="002D7D4D" w:rsidP="00B85664">
            <w:pPr>
              <w:pStyle w:val="Ttulo9"/>
              <w:spacing w:before="120" w:after="120"/>
              <w:ind w:firstLine="0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009E179E">
              <w:rPr>
                <w:rFonts w:ascii="Verdana" w:hAnsi="Verdana" w:cs="Verdana"/>
                <w:color w:val="FFFFFF" w:themeColor="background1"/>
                <w:sz w:val="28"/>
                <w:szCs w:val="28"/>
              </w:rPr>
              <w:lastRenderedPageBreak/>
              <w:br w:type="page"/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 xml:space="preserve">COMÉRCIO VAREJISTA: DESEMPENHO EM </w:t>
            </w:r>
            <w:r w:rsidR="00B85664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FEVEREIRO</w:t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/15</w:t>
            </w:r>
          </w:p>
        </w:tc>
      </w:tr>
      <w:tr w:rsidR="009E179E" w:rsidRPr="009E179E" w:rsidTr="009E179E">
        <w:tc>
          <w:tcPr>
            <w:tcW w:w="10345" w:type="dxa"/>
            <w:shd w:val="clear" w:color="auto" w:fill="89AAD3"/>
            <w:vAlign w:val="center"/>
          </w:tcPr>
          <w:p w:rsidR="009E179E" w:rsidRPr="009E179E" w:rsidRDefault="009E179E" w:rsidP="00C11810">
            <w:pPr>
              <w:spacing w:before="120" w:after="120"/>
              <w:outlineLvl w:val="0"/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BASE I: Mês Imediatamente Anterior (</w:t>
            </w:r>
            <w:r w:rsidR="00C11810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Fev</w:t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.15/</w:t>
            </w:r>
            <w:r w:rsidR="00C11810"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 xml:space="preserve"> Jan</w:t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.1</w:t>
            </w:r>
            <w:r w:rsidR="00C11810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5</w:t>
            </w:r>
            <w:r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)</w:t>
            </w:r>
          </w:p>
        </w:tc>
      </w:tr>
      <w:tr w:rsidR="009E179E" w:rsidRPr="009E179E" w:rsidTr="00B85664">
        <w:tc>
          <w:tcPr>
            <w:tcW w:w="10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179E" w:rsidRPr="009E179E" w:rsidRDefault="009E179E" w:rsidP="00C11810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color w:val="FF0000"/>
                <w:sz w:val="24"/>
                <w:szCs w:val="24"/>
              </w:rPr>
            </w:pPr>
            <w:r w:rsidRPr="0019706F">
              <w:rPr>
                <w:sz w:val="24"/>
                <w:szCs w:val="24"/>
              </w:rPr>
              <w:t>O</w:t>
            </w:r>
            <w:r w:rsidRPr="0019706F">
              <w:t xml:space="preserve"> </w:t>
            </w:r>
            <w:r w:rsidRPr="0019706F">
              <w:rPr>
                <w:rFonts w:ascii="Verdana" w:hAnsi="Verdana" w:cs="Verdana"/>
                <w:sz w:val="24"/>
                <w:szCs w:val="24"/>
              </w:rPr>
              <w:t>índice real de vendas aprese</w:t>
            </w:r>
            <w:r w:rsidRPr="00DC7FF8">
              <w:rPr>
                <w:rFonts w:ascii="Verdana" w:hAnsi="Verdana" w:cs="Verdana"/>
                <w:sz w:val="24"/>
                <w:szCs w:val="24"/>
              </w:rPr>
              <w:t xml:space="preserve">ntou na comparação com o mês imediatamente anterior, </w:t>
            </w:r>
            <w:r w:rsidRPr="00DC7FF8">
              <w:rPr>
                <w:rFonts w:ascii="Verdana" w:hAnsi="Verdana" w:cs="Verdana"/>
                <w:b/>
                <w:bCs/>
                <w:sz w:val="24"/>
                <w:szCs w:val="24"/>
              </w:rPr>
              <w:t>um</w:t>
            </w:r>
            <w:r w:rsidR="0019706F" w:rsidRPr="00DC7FF8">
              <w:rPr>
                <w:rFonts w:ascii="Verdana" w:hAnsi="Verdana" w:cs="Verdana"/>
                <w:b/>
                <w:bCs/>
                <w:sz w:val="24"/>
                <w:szCs w:val="24"/>
              </w:rPr>
              <w:t>a</w:t>
            </w:r>
            <w:r w:rsidRPr="00DC7FF8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</w:t>
            </w:r>
            <w:r w:rsidR="0019706F" w:rsidRPr="00DC7FF8">
              <w:rPr>
                <w:rFonts w:ascii="Verdana" w:hAnsi="Verdana" w:cs="Verdana"/>
                <w:b/>
                <w:bCs/>
                <w:sz w:val="24"/>
                <w:szCs w:val="24"/>
              </w:rPr>
              <w:t>queda de -</w:t>
            </w:r>
            <w:r w:rsidR="00145F5C">
              <w:rPr>
                <w:rFonts w:ascii="Verdana" w:hAnsi="Verdana" w:cs="Verdana"/>
                <w:b/>
                <w:bCs/>
                <w:sz w:val="24"/>
                <w:szCs w:val="24"/>
              </w:rPr>
              <w:t>6,</w:t>
            </w:r>
            <w:r w:rsidR="003260EE">
              <w:rPr>
                <w:rFonts w:ascii="Verdana" w:hAnsi="Verdana" w:cs="Verdana"/>
                <w:b/>
                <w:bCs/>
                <w:sz w:val="24"/>
                <w:szCs w:val="24"/>
              </w:rPr>
              <w:t>7</w:t>
            </w:r>
            <w:r w:rsidR="00BF02C8">
              <w:rPr>
                <w:rFonts w:ascii="Verdana" w:hAnsi="Verdana" w:cs="Verdana"/>
                <w:b/>
                <w:bCs/>
                <w:sz w:val="24"/>
                <w:szCs w:val="24"/>
              </w:rPr>
              <w:t>3</w:t>
            </w:r>
            <w:r w:rsidR="0019706F" w:rsidRPr="00B85664">
              <w:rPr>
                <w:rFonts w:ascii="Verdana" w:hAnsi="Verdana" w:cs="Verdana"/>
                <w:b/>
                <w:sz w:val="24"/>
                <w:szCs w:val="24"/>
              </w:rPr>
              <w:t>%</w:t>
            </w:r>
            <w:r w:rsidRPr="00C11810">
              <w:rPr>
                <w:rFonts w:ascii="Verdana" w:hAnsi="Verdana" w:cs="Verdana"/>
                <w:sz w:val="24"/>
                <w:szCs w:val="24"/>
              </w:rPr>
              <w:t xml:space="preserve">. </w:t>
            </w:r>
            <w:r w:rsidR="00C11810" w:rsidRPr="00C11810">
              <w:rPr>
                <w:rFonts w:ascii="Verdana" w:hAnsi="Verdana" w:cs="Verdana"/>
                <w:sz w:val="24"/>
                <w:szCs w:val="24"/>
              </w:rPr>
              <w:t>A</w:t>
            </w:r>
            <w:r w:rsidR="00C11810">
              <w:rPr>
                <w:color w:val="000000"/>
              </w:rPr>
              <w:t xml:space="preserve"> </w:t>
            </w:r>
            <w:r w:rsidR="00C11810" w:rsidRPr="00C11810">
              <w:rPr>
                <w:rFonts w:ascii="Verdana" w:hAnsi="Verdana" w:cs="Verdana"/>
                <w:sz w:val="24"/>
                <w:szCs w:val="24"/>
              </w:rPr>
              <w:t>queda</w:t>
            </w:r>
            <w:r w:rsidR="00145F5C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="00C11810" w:rsidRPr="00C11810">
              <w:rPr>
                <w:rFonts w:ascii="Verdana" w:hAnsi="Verdana" w:cs="Verdana"/>
                <w:sz w:val="24"/>
                <w:szCs w:val="24"/>
              </w:rPr>
              <w:t xml:space="preserve">foi menor do que a registrada em janeiro, quando </w:t>
            </w:r>
            <w:r w:rsidR="00C11810">
              <w:rPr>
                <w:rFonts w:ascii="Verdana" w:hAnsi="Verdana" w:cs="Verdana"/>
                <w:sz w:val="24"/>
                <w:szCs w:val="24"/>
              </w:rPr>
              <w:t>as vendas apresentou um decréscimo de</w:t>
            </w:r>
            <w:r w:rsidR="00C11810" w:rsidRPr="00C11810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="00C11810">
              <w:rPr>
                <w:rFonts w:ascii="Verdana" w:hAnsi="Verdana" w:cs="Verdana"/>
                <w:sz w:val="24"/>
                <w:szCs w:val="24"/>
              </w:rPr>
              <w:t>-11,46</w:t>
            </w:r>
            <w:r w:rsidR="00C11810" w:rsidRPr="00C11810">
              <w:rPr>
                <w:rFonts w:ascii="Verdana" w:hAnsi="Verdana" w:cs="Verdana"/>
                <w:sz w:val="24"/>
                <w:szCs w:val="24"/>
              </w:rPr>
              <w:t xml:space="preserve">% por conta do fim do período de festas de fim de ano, </w:t>
            </w:r>
            <w:r w:rsidR="00C11810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e as </w:t>
            </w:r>
            <w:r w:rsidR="00C11810" w:rsidRPr="000B588A">
              <w:rPr>
                <w:rFonts w:ascii="Verdana" w:hAnsi="Verdana"/>
                <w:bCs/>
                <w:color w:val="000000"/>
                <w:sz w:val="24"/>
                <w:szCs w:val="24"/>
              </w:rPr>
              <w:t>despesas</w:t>
            </w:r>
            <w:r w:rsidR="00C11810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 de início de ano</w:t>
            </w:r>
            <w:r w:rsidR="00C11810" w:rsidRPr="000B588A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 como IPTU, IPVA, DPVAT, material escolar e outras</w:t>
            </w:r>
            <w:r w:rsidR="007C270D">
              <w:rPr>
                <w:rFonts w:ascii="Verdana" w:hAnsi="Verdana"/>
                <w:bCs/>
                <w:color w:val="000000"/>
                <w:sz w:val="24"/>
                <w:szCs w:val="24"/>
              </w:rPr>
              <w:t>.</w:t>
            </w:r>
            <w:r w:rsidR="00C11810" w:rsidRPr="000B588A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 A queda no volume de vendas em fevereiro é um reflexo </w:t>
            </w:r>
            <w:r w:rsidR="00EE45F0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do aumento da taxa de desocupação </w:t>
            </w:r>
            <w:r w:rsidR="00EE45F0" w:rsidRPr="00D46514">
              <w:rPr>
                <w:rFonts w:ascii="Verdana" w:hAnsi="Verdana" w:cs="Verdana"/>
                <w:bCs/>
                <w:sz w:val="24"/>
                <w:szCs w:val="24"/>
              </w:rPr>
              <w:t>(</w:t>
            </w:r>
            <w:r w:rsidR="00EE45F0">
              <w:rPr>
                <w:rFonts w:ascii="Verdana" w:hAnsi="Verdana" w:cs="Verdana"/>
                <w:bCs/>
                <w:sz w:val="24"/>
                <w:szCs w:val="24"/>
              </w:rPr>
              <w:t>Jan.15</w:t>
            </w:r>
            <w:r w:rsidR="00EE45F0" w:rsidRPr="00A96FB2">
              <w:rPr>
                <w:rFonts w:ascii="Verdana" w:hAnsi="Verdana" w:cs="Verdana"/>
                <w:bCs/>
                <w:sz w:val="24"/>
                <w:szCs w:val="24"/>
              </w:rPr>
              <w:t xml:space="preserve"> era de </w:t>
            </w:r>
            <w:r w:rsidR="00EE45F0">
              <w:rPr>
                <w:rFonts w:ascii="Verdana" w:hAnsi="Verdana" w:cs="Verdana"/>
                <w:bCs/>
                <w:sz w:val="24"/>
                <w:szCs w:val="24"/>
              </w:rPr>
              <w:t>4,1</w:t>
            </w:r>
            <w:r w:rsidR="00EE45F0" w:rsidRPr="00A96FB2">
              <w:rPr>
                <w:rFonts w:ascii="Verdana" w:hAnsi="Verdana" w:cs="Verdana"/>
                <w:bCs/>
                <w:sz w:val="24"/>
                <w:szCs w:val="24"/>
              </w:rPr>
              <w:t xml:space="preserve">% e </w:t>
            </w:r>
            <w:r w:rsidR="00EE45F0">
              <w:rPr>
                <w:rFonts w:ascii="Verdana" w:hAnsi="Verdana" w:cs="Verdana"/>
                <w:bCs/>
                <w:sz w:val="24"/>
                <w:szCs w:val="24"/>
              </w:rPr>
              <w:t>Fev.15</w:t>
            </w:r>
            <w:r w:rsidR="00EE45F0" w:rsidRPr="00A96FB2">
              <w:rPr>
                <w:rFonts w:ascii="Verdana" w:hAnsi="Verdana" w:cs="Verdana"/>
                <w:bCs/>
                <w:sz w:val="24"/>
                <w:szCs w:val="24"/>
              </w:rPr>
              <w:t xml:space="preserve"> 4,9%, segundo o IBGE)</w:t>
            </w:r>
            <w:r w:rsidR="00EE45F0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 </w:t>
            </w:r>
            <w:r w:rsidR="00C11810" w:rsidRPr="000B588A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do </w:t>
            </w:r>
            <w:r w:rsidR="004B7A0A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maior </w:t>
            </w:r>
            <w:r w:rsidR="00C11810" w:rsidRPr="000B588A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comprometimento da renda dos consumidores </w:t>
            </w:r>
            <w:r w:rsidR="00C11810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devido </w:t>
            </w:r>
            <w:r w:rsidR="00EE45F0">
              <w:rPr>
                <w:rFonts w:ascii="Verdana" w:hAnsi="Verdana"/>
                <w:bCs/>
                <w:color w:val="000000"/>
                <w:sz w:val="24"/>
                <w:szCs w:val="24"/>
              </w:rPr>
              <w:t>às</w:t>
            </w:r>
            <w:r w:rsidR="007C270D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 pressões inflacionárias</w:t>
            </w:r>
            <w:r w:rsidR="00300804">
              <w:rPr>
                <w:rFonts w:ascii="Verdana" w:hAnsi="Verdana"/>
                <w:bCs/>
                <w:color w:val="000000"/>
                <w:sz w:val="24"/>
                <w:szCs w:val="24"/>
              </w:rPr>
              <w:t>,</w:t>
            </w:r>
            <w:r w:rsidR="007C270D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 </w:t>
            </w:r>
            <w:r w:rsidR="007C270D" w:rsidRPr="007C270D">
              <w:rPr>
                <w:rFonts w:ascii="Verdana" w:hAnsi="Verdana" w:cs="Verdana"/>
                <w:bCs/>
                <w:sz w:val="24"/>
                <w:szCs w:val="24"/>
              </w:rPr>
              <w:t>queda da renda real (Jan.15 era de R$2</w:t>
            </w:r>
            <w:r w:rsidR="004B7A0A">
              <w:rPr>
                <w:rFonts w:ascii="Verdana" w:hAnsi="Verdana" w:cs="Verdana"/>
                <w:bCs/>
                <w:sz w:val="24"/>
                <w:szCs w:val="24"/>
              </w:rPr>
              <w:t xml:space="preserve">.031,02 Fev.15 de R$ 2.021,90, </w:t>
            </w:r>
            <w:r w:rsidR="007C270D" w:rsidRPr="007C270D">
              <w:rPr>
                <w:rFonts w:ascii="Verdana" w:hAnsi="Verdana" w:cs="Verdana"/>
                <w:bCs/>
                <w:sz w:val="24"/>
                <w:szCs w:val="24"/>
              </w:rPr>
              <w:t>queda de -0,</w:t>
            </w:r>
            <w:r w:rsidR="004B7A0A">
              <w:rPr>
                <w:rFonts w:ascii="Verdana" w:hAnsi="Verdana" w:cs="Verdana"/>
                <w:bCs/>
                <w:sz w:val="24"/>
                <w:szCs w:val="24"/>
              </w:rPr>
              <w:t xml:space="preserve">4%, segundo o IBGE). </w:t>
            </w:r>
            <w:r w:rsidR="007C270D">
              <w:rPr>
                <w:rFonts w:ascii="Verdana" w:hAnsi="Verdana"/>
                <w:bCs/>
                <w:color w:val="000000"/>
                <w:sz w:val="24"/>
                <w:szCs w:val="24"/>
              </w:rPr>
              <w:t>Tendo</w:t>
            </w:r>
            <w:r w:rsidR="00C11810" w:rsidRPr="000B588A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 em vista que os consumidores necessitam arcar com estas despesas</w:t>
            </w:r>
            <w:r w:rsidR="007C270D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 de início de ano</w:t>
            </w:r>
            <w:r w:rsidR="00300804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 além </w:t>
            </w:r>
            <w:r w:rsidR="00C11810">
              <w:rPr>
                <w:rFonts w:ascii="Verdana" w:hAnsi="Verdana"/>
                <w:bCs/>
                <w:color w:val="000000"/>
                <w:sz w:val="24"/>
                <w:szCs w:val="24"/>
              </w:rPr>
              <w:t>das contas fixas de todo mês</w:t>
            </w:r>
            <w:r w:rsidR="00C11810" w:rsidRPr="000B588A">
              <w:rPr>
                <w:rFonts w:ascii="Verdana" w:hAnsi="Verdana"/>
                <w:bCs/>
                <w:color w:val="000000"/>
                <w:sz w:val="24"/>
                <w:szCs w:val="24"/>
              </w:rPr>
              <w:t>,</w:t>
            </w:r>
            <w:r w:rsidR="007C270D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 encarecidas pela inflação,</w:t>
            </w:r>
            <w:r w:rsidR="00C11810" w:rsidRPr="000B588A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 elas se tornam uma prioridade no orçamento, provocando uma redução do consumo e, por conseguinte, das vendas. Há de se considerar também que em fevereiro </w:t>
            </w:r>
            <w:r w:rsidR="00C11810">
              <w:rPr>
                <w:rFonts w:ascii="Verdana" w:hAnsi="Verdana"/>
                <w:bCs/>
                <w:color w:val="000000"/>
                <w:sz w:val="24"/>
                <w:szCs w:val="24"/>
              </w:rPr>
              <w:t>contou com menor número de dias úteis devido ao Carnaval.</w:t>
            </w:r>
            <w:r w:rsidR="00C11810" w:rsidRPr="000B588A">
              <w:rPr>
                <w:rFonts w:ascii="Verdana" w:hAnsi="Verdana"/>
                <w:bCs/>
                <w:color w:val="000000"/>
                <w:sz w:val="24"/>
                <w:szCs w:val="24"/>
              </w:rPr>
              <w:t xml:space="preserve"> </w:t>
            </w:r>
          </w:p>
          <w:p w:rsidR="009E179E" w:rsidRPr="00145F5C" w:rsidRDefault="009E179E" w:rsidP="0019706F">
            <w:pPr>
              <w:spacing w:before="120" w:after="120" w:line="360" w:lineRule="auto"/>
              <w:ind w:firstLine="709"/>
              <w:jc w:val="both"/>
              <w:rPr>
                <w:rFonts w:ascii="Verdana" w:hAnsi="Verdana" w:cs="Verdana"/>
                <w:sz w:val="24"/>
                <w:szCs w:val="24"/>
              </w:rPr>
            </w:pPr>
            <w:r w:rsidRPr="00145F5C">
              <w:rPr>
                <w:rFonts w:ascii="Verdana" w:hAnsi="Verdana" w:cs="Verdana"/>
                <w:b/>
                <w:bCs/>
                <w:sz w:val="24"/>
                <w:szCs w:val="24"/>
              </w:rPr>
              <w:t>Setores que apresentaram crescimento</w:t>
            </w:r>
            <w:r w:rsidRPr="00145F5C">
              <w:rPr>
                <w:rFonts w:ascii="Verdana" w:hAnsi="Verdana" w:cs="Verdana"/>
                <w:sz w:val="24"/>
                <w:szCs w:val="24"/>
              </w:rPr>
              <w:t xml:space="preserve">: </w:t>
            </w:r>
            <w:r w:rsidR="00145F5C" w:rsidRPr="00145F5C">
              <w:rPr>
                <w:rFonts w:ascii="Verdana" w:hAnsi="Verdana" w:cs="Verdana"/>
                <w:sz w:val="24"/>
                <w:szCs w:val="24"/>
              </w:rPr>
              <w:t>Veículos Novos, Usado e peças</w:t>
            </w:r>
            <w:r w:rsidRPr="00145F5C">
              <w:rPr>
                <w:rFonts w:ascii="Verdana" w:hAnsi="Verdana" w:cs="Verdana"/>
                <w:sz w:val="24"/>
                <w:szCs w:val="24"/>
              </w:rPr>
              <w:t xml:space="preserve"> (+</w:t>
            </w:r>
            <w:r w:rsidR="005771C1">
              <w:rPr>
                <w:rFonts w:ascii="Verdana" w:hAnsi="Verdana" w:cs="Verdana"/>
                <w:sz w:val="24"/>
                <w:szCs w:val="24"/>
              </w:rPr>
              <w:t>0,22</w:t>
            </w:r>
            <w:r w:rsidR="00145F5C" w:rsidRPr="00145F5C">
              <w:rPr>
                <w:rFonts w:ascii="Verdana" w:hAnsi="Verdana" w:cs="Verdana"/>
                <w:sz w:val="24"/>
                <w:szCs w:val="24"/>
              </w:rPr>
              <w:t>%)</w:t>
            </w:r>
            <w:r w:rsidR="0019706F" w:rsidRPr="00145F5C">
              <w:rPr>
                <w:rFonts w:ascii="Verdana" w:hAnsi="Verdana" w:cs="Verdana"/>
                <w:sz w:val="24"/>
                <w:szCs w:val="24"/>
              </w:rPr>
              <w:t>.</w:t>
            </w:r>
          </w:p>
          <w:p w:rsidR="002D7D4D" w:rsidRPr="009E179E" w:rsidRDefault="002D7D4D" w:rsidP="009E179E">
            <w:pPr>
              <w:spacing w:after="120" w:line="360" w:lineRule="auto"/>
              <w:ind w:firstLine="709"/>
              <w:jc w:val="both"/>
              <w:rPr>
                <w:rFonts w:ascii="Verdana" w:hAnsi="Verdana" w:cs="Verdana"/>
                <w:color w:val="FF0000"/>
                <w:sz w:val="24"/>
                <w:szCs w:val="24"/>
              </w:rPr>
            </w:pPr>
          </w:p>
        </w:tc>
      </w:tr>
      <w:tr w:rsidR="009E179E" w:rsidRPr="009E179E" w:rsidTr="009E179E">
        <w:tc>
          <w:tcPr>
            <w:tcW w:w="10345" w:type="dxa"/>
            <w:shd w:val="clear" w:color="auto" w:fill="89AAD3"/>
            <w:vAlign w:val="center"/>
          </w:tcPr>
          <w:p w:rsidR="009E179E" w:rsidRPr="009E179E" w:rsidRDefault="004B7A0A" w:rsidP="004B7A0A">
            <w:pPr>
              <w:spacing w:before="120" w:after="120"/>
              <w:jc w:val="both"/>
              <w:rPr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BASE II</w:t>
            </w:r>
            <w:r w:rsidR="009E179E"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: Mesmo Mês do Ano Anterior (</w:t>
            </w:r>
            <w:r w:rsidR="000A29BF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Fev</w:t>
            </w:r>
            <w:r w:rsidR="009E179E"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.15/</w:t>
            </w:r>
            <w:r w:rsidR="000A29BF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Fev</w:t>
            </w:r>
            <w:r w:rsidR="009E179E" w:rsidRPr="009E179E"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  <w:t>.14)</w:t>
            </w:r>
          </w:p>
        </w:tc>
      </w:tr>
      <w:tr w:rsidR="002D7D4D" w:rsidRPr="009E179E" w:rsidTr="002D7D4D">
        <w:tc>
          <w:tcPr>
            <w:tcW w:w="10345" w:type="dxa"/>
            <w:shd w:val="clear" w:color="auto" w:fill="auto"/>
            <w:vAlign w:val="center"/>
          </w:tcPr>
          <w:p w:rsidR="00BA096F" w:rsidRPr="009E179E" w:rsidRDefault="002D7D4D" w:rsidP="00BA096F">
            <w:pPr>
              <w:spacing w:before="120" w:after="120" w:line="360" w:lineRule="auto"/>
              <w:ind w:firstLine="709"/>
              <w:jc w:val="both"/>
              <w:rPr>
                <w:rFonts w:ascii="Verdana" w:hAnsi="Verdana" w:cs="Verdana"/>
                <w:bCs/>
                <w:color w:val="FF0000"/>
                <w:sz w:val="24"/>
                <w:szCs w:val="24"/>
              </w:rPr>
            </w:pPr>
            <w:r w:rsidRPr="0019706F">
              <w:rPr>
                <w:rFonts w:ascii="Verdana" w:hAnsi="Verdana" w:cs="Verdana"/>
                <w:sz w:val="24"/>
                <w:szCs w:val="24"/>
              </w:rPr>
              <w:t>Na comparação com o m</w:t>
            </w:r>
            <w:r w:rsidRPr="00D46514">
              <w:rPr>
                <w:rFonts w:ascii="Verdana" w:hAnsi="Verdana" w:cs="Verdana"/>
                <w:sz w:val="24"/>
                <w:szCs w:val="24"/>
              </w:rPr>
              <w:t xml:space="preserve">esmo mês do ano anterior, o mês de outubro apresentou </w:t>
            </w:r>
            <w:r w:rsidR="0019706F" w:rsidRPr="00D46514">
              <w:rPr>
                <w:rFonts w:ascii="Verdana" w:hAnsi="Verdana" w:cs="Verdana"/>
                <w:b/>
                <w:bCs/>
                <w:sz w:val="24"/>
                <w:szCs w:val="24"/>
              </w:rPr>
              <w:t>queda de -</w:t>
            </w:r>
            <w:r w:rsidR="00145F5C">
              <w:rPr>
                <w:rFonts w:ascii="Verdana" w:hAnsi="Verdana" w:cs="Verdana"/>
                <w:b/>
                <w:bCs/>
                <w:sz w:val="24"/>
                <w:szCs w:val="24"/>
              </w:rPr>
              <w:t>4,</w:t>
            </w:r>
            <w:r w:rsidR="00BF02C8">
              <w:rPr>
                <w:rFonts w:ascii="Verdana" w:hAnsi="Verdana" w:cs="Verdana"/>
                <w:b/>
                <w:bCs/>
                <w:sz w:val="24"/>
                <w:szCs w:val="24"/>
              </w:rPr>
              <w:t>67</w:t>
            </w:r>
            <w:r w:rsidR="0019706F" w:rsidRPr="00D46514">
              <w:rPr>
                <w:rFonts w:ascii="Verdana" w:hAnsi="Verdana" w:cs="Verdana"/>
                <w:b/>
                <w:bCs/>
                <w:sz w:val="24"/>
                <w:szCs w:val="24"/>
              </w:rPr>
              <w:t>%</w:t>
            </w:r>
            <w:r w:rsidRPr="00D46514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. </w:t>
            </w:r>
            <w:r w:rsidR="00BA096F">
              <w:rPr>
                <w:rFonts w:ascii="Verdana" w:hAnsi="Verdana" w:cs="Verdana"/>
                <w:bCs/>
                <w:sz w:val="24"/>
                <w:szCs w:val="24"/>
              </w:rPr>
              <w:t xml:space="preserve">A queda </w:t>
            </w:r>
            <w:r w:rsidR="00BA096F" w:rsidRPr="00BA096F">
              <w:rPr>
                <w:rFonts w:ascii="Verdana" w:hAnsi="Verdana" w:cs="Verdana"/>
                <w:bCs/>
                <w:sz w:val="24"/>
                <w:szCs w:val="24"/>
              </w:rPr>
              <w:t xml:space="preserve">reflete a </w:t>
            </w:r>
            <w:r w:rsidR="00BA096F">
              <w:rPr>
                <w:rFonts w:ascii="Verdana" w:hAnsi="Verdana" w:cs="Verdana"/>
                <w:bCs/>
                <w:sz w:val="24"/>
                <w:szCs w:val="24"/>
              </w:rPr>
              <w:t xml:space="preserve">menor atividade no cenário macroeconômico. </w:t>
            </w:r>
            <w:r w:rsidR="00BA096F"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Com um cenário mais adverso este ano em relação ao mesmo mês do ano passado, com juros maiores (Selic em </w:t>
            </w:r>
            <w:r w:rsidR="00BA096F">
              <w:rPr>
                <w:rFonts w:ascii="Verdana" w:hAnsi="Verdana" w:cs="Verdana"/>
                <w:bCs/>
                <w:sz w:val="24"/>
                <w:szCs w:val="24"/>
              </w:rPr>
              <w:t>Fev</w:t>
            </w:r>
            <w:r w:rsidR="00BA096F" w:rsidRPr="00D46514">
              <w:rPr>
                <w:rFonts w:ascii="Verdana" w:hAnsi="Verdana" w:cs="Verdana"/>
                <w:bCs/>
                <w:sz w:val="24"/>
                <w:szCs w:val="24"/>
              </w:rPr>
              <w:t>.14 era de 10,</w:t>
            </w:r>
            <w:r w:rsidR="00BA096F">
              <w:rPr>
                <w:rFonts w:ascii="Verdana" w:hAnsi="Verdana" w:cs="Verdana"/>
                <w:bCs/>
                <w:sz w:val="24"/>
                <w:szCs w:val="24"/>
              </w:rPr>
              <w:t>75</w:t>
            </w:r>
            <w:r w:rsidR="00BA096F"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%, já em </w:t>
            </w:r>
            <w:r w:rsidR="00BA096F">
              <w:rPr>
                <w:rFonts w:ascii="Verdana" w:hAnsi="Verdana" w:cs="Verdana"/>
                <w:bCs/>
                <w:sz w:val="24"/>
                <w:szCs w:val="24"/>
              </w:rPr>
              <w:t>Fe</w:t>
            </w:r>
            <w:r w:rsidR="00A67B6F">
              <w:rPr>
                <w:rFonts w:ascii="Verdana" w:hAnsi="Verdana" w:cs="Verdana"/>
                <w:bCs/>
                <w:sz w:val="24"/>
                <w:szCs w:val="24"/>
              </w:rPr>
              <w:t>v</w:t>
            </w:r>
            <w:r w:rsidR="00BA096F"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.15 </w:t>
            </w:r>
            <w:r w:rsidR="00BA096F">
              <w:rPr>
                <w:rFonts w:ascii="Verdana" w:hAnsi="Verdana" w:cs="Verdana"/>
                <w:bCs/>
                <w:sz w:val="24"/>
                <w:szCs w:val="24"/>
              </w:rPr>
              <w:t>12,25</w:t>
            </w:r>
            <w:r w:rsidR="00BA096F" w:rsidRPr="00D46514">
              <w:rPr>
                <w:rFonts w:ascii="Verdana" w:hAnsi="Verdana" w:cs="Verdana"/>
                <w:bCs/>
                <w:sz w:val="24"/>
                <w:szCs w:val="24"/>
              </w:rPr>
              <w:t>%), aumento do índice de desocupação (</w:t>
            </w:r>
            <w:r w:rsidR="00483033" w:rsidRPr="00A96FB2">
              <w:rPr>
                <w:rFonts w:ascii="Verdana" w:hAnsi="Verdana" w:cs="Verdana"/>
                <w:bCs/>
                <w:sz w:val="24"/>
                <w:szCs w:val="24"/>
              </w:rPr>
              <w:t>Fev</w:t>
            </w:r>
            <w:r w:rsidR="00BA096F" w:rsidRPr="00A96FB2">
              <w:rPr>
                <w:rFonts w:ascii="Verdana" w:hAnsi="Verdana" w:cs="Verdana"/>
                <w:bCs/>
                <w:sz w:val="24"/>
                <w:szCs w:val="24"/>
              </w:rPr>
              <w:t>.14 era de 3,</w:t>
            </w:r>
            <w:r w:rsidR="00483033" w:rsidRPr="00A96FB2">
              <w:rPr>
                <w:rFonts w:ascii="Verdana" w:hAnsi="Verdana" w:cs="Verdana"/>
                <w:bCs/>
                <w:sz w:val="24"/>
                <w:szCs w:val="24"/>
              </w:rPr>
              <w:t>9</w:t>
            </w:r>
            <w:r w:rsidR="00BA096F" w:rsidRPr="00A96FB2">
              <w:rPr>
                <w:rFonts w:ascii="Verdana" w:hAnsi="Verdana" w:cs="Verdana"/>
                <w:bCs/>
                <w:sz w:val="24"/>
                <w:szCs w:val="24"/>
              </w:rPr>
              <w:t>% e no mesmo mês deste ano foi de 4,</w:t>
            </w:r>
            <w:r w:rsidR="00483033" w:rsidRPr="00A96FB2">
              <w:rPr>
                <w:rFonts w:ascii="Verdana" w:hAnsi="Verdana" w:cs="Verdana"/>
                <w:bCs/>
                <w:sz w:val="24"/>
                <w:szCs w:val="24"/>
              </w:rPr>
              <w:t>9</w:t>
            </w:r>
            <w:r w:rsidR="00BA096F" w:rsidRPr="00A96FB2">
              <w:rPr>
                <w:rFonts w:ascii="Verdana" w:hAnsi="Verdana" w:cs="Verdana"/>
                <w:bCs/>
                <w:sz w:val="24"/>
                <w:szCs w:val="24"/>
              </w:rPr>
              <w:t>%, segundo o IBGE)</w:t>
            </w:r>
            <w:r w:rsidR="00483033" w:rsidRPr="00A96FB2">
              <w:rPr>
                <w:rFonts w:ascii="Verdana" w:hAnsi="Verdana" w:cs="Verdana"/>
                <w:bCs/>
                <w:sz w:val="24"/>
                <w:szCs w:val="24"/>
              </w:rPr>
              <w:t>, queda da renda real (Fev.14 era de R$2.088,49 Fev.15 de R$ 2.021,90, queda de -3,2%, segundo o IBGE)</w:t>
            </w:r>
            <w:r w:rsidR="00106795" w:rsidRPr="00A96FB2">
              <w:rPr>
                <w:rFonts w:ascii="Verdana" w:hAnsi="Verdana" w:cs="Verdana"/>
                <w:bCs/>
                <w:sz w:val="24"/>
                <w:szCs w:val="24"/>
              </w:rPr>
              <w:t xml:space="preserve"> e alta da inflação (</w:t>
            </w:r>
            <w:r w:rsidR="00106795" w:rsidRPr="00A67B6F">
              <w:rPr>
                <w:rFonts w:ascii="Verdana" w:hAnsi="Verdana" w:cs="Verdana"/>
                <w:bCs/>
                <w:sz w:val="24"/>
                <w:szCs w:val="24"/>
              </w:rPr>
              <w:t>IPCA Fev.14 0,69% e no mesmo mês deste ano foi de 1,22%, segundo o IBGE)</w:t>
            </w:r>
            <w:r w:rsidR="00BA096F" w:rsidRPr="00A67B6F">
              <w:rPr>
                <w:rFonts w:ascii="Verdana" w:hAnsi="Verdana" w:cs="Verdana"/>
                <w:bCs/>
                <w:sz w:val="24"/>
                <w:szCs w:val="24"/>
              </w:rPr>
              <w:t xml:space="preserve">, são fatores que além de ter um impacto psicológico negativo nos </w:t>
            </w:r>
            <w:r w:rsidR="00BA096F" w:rsidRPr="00A67B6F">
              <w:rPr>
                <w:rFonts w:ascii="Verdana" w:hAnsi="Verdana" w:cs="Verdana"/>
                <w:bCs/>
                <w:sz w:val="24"/>
                <w:szCs w:val="24"/>
              </w:rPr>
              <w:lastRenderedPageBreak/>
              <w:t>consumidores, tem um impacto econômico direto, pois com u</w:t>
            </w:r>
            <w:r w:rsidR="00A67B6F">
              <w:rPr>
                <w:rFonts w:ascii="Verdana" w:hAnsi="Verdana" w:cs="Verdana"/>
                <w:bCs/>
                <w:sz w:val="24"/>
                <w:szCs w:val="24"/>
              </w:rPr>
              <w:t>m</w:t>
            </w:r>
            <w:r w:rsidR="00BA096F" w:rsidRPr="00A67B6F">
              <w:rPr>
                <w:rFonts w:ascii="Verdana" w:hAnsi="Verdana" w:cs="Verdana"/>
                <w:bCs/>
                <w:sz w:val="24"/>
                <w:szCs w:val="24"/>
              </w:rPr>
              <w:t xml:space="preserve"> aumento </w:t>
            </w:r>
            <w:r w:rsidR="00A67B6F" w:rsidRPr="00A67B6F">
              <w:rPr>
                <w:rFonts w:ascii="Verdana" w:hAnsi="Verdana" w:cs="Verdana"/>
                <w:bCs/>
                <w:sz w:val="24"/>
                <w:szCs w:val="24"/>
              </w:rPr>
              <w:t>dos juros</w:t>
            </w:r>
            <w:r w:rsidR="00BA096F" w:rsidRPr="00A67B6F">
              <w:rPr>
                <w:rFonts w:ascii="Verdana" w:hAnsi="Verdana" w:cs="Verdana"/>
                <w:bCs/>
                <w:sz w:val="24"/>
                <w:szCs w:val="24"/>
              </w:rPr>
              <w:t xml:space="preserve"> as </w:t>
            </w:r>
            <w:r w:rsidR="00BA096F">
              <w:rPr>
                <w:rFonts w:ascii="Verdana" w:hAnsi="Verdana" w:cs="Verdana"/>
                <w:bCs/>
                <w:sz w:val="24"/>
                <w:szCs w:val="24"/>
              </w:rPr>
              <w:t>instituições financeiras bem como o varejo</w:t>
            </w:r>
            <w:r w:rsidR="00BA096F" w:rsidRPr="00BA096F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 w:rsidR="00BA096F">
              <w:rPr>
                <w:rFonts w:ascii="Verdana" w:hAnsi="Verdana" w:cs="Verdana"/>
                <w:bCs/>
                <w:sz w:val="24"/>
                <w:szCs w:val="24"/>
              </w:rPr>
              <w:t>diminuiu</w:t>
            </w:r>
            <w:r w:rsidR="00BA096F" w:rsidRPr="00BA096F">
              <w:rPr>
                <w:rFonts w:ascii="Verdana" w:hAnsi="Verdana" w:cs="Verdana"/>
                <w:bCs/>
                <w:sz w:val="24"/>
                <w:szCs w:val="24"/>
              </w:rPr>
              <w:t xml:space="preserve"> a oferta de crédito </w:t>
            </w:r>
            <w:r w:rsidR="00BA096F">
              <w:rPr>
                <w:rFonts w:ascii="Verdana" w:hAnsi="Verdana" w:cs="Verdana"/>
                <w:bCs/>
                <w:sz w:val="24"/>
                <w:szCs w:val="24"/>
              </w:rPr>
              <w:t>o que impacta nas vendas de bens de maior valo</w:t>
            </w:r>
            <w:r w:rsidR="00FA0E16">
              <w:rPr>
                <w:rFonts w:ascii="Verdana" w:hAnsi="Verdana" w:cs="Verdana"/>
                <w:bCs/>
                <w:sz w:val="24"/>
                <w:szCs w:val="24"/>
              </w:rPr>
              <w:t>r</w:t>
            </w:r>
            <w:r w:rsidR="00BA096F">
              <w:rPr>
                <w:rFonts w:ascii="Verdana" w:hAnsi="Verdana" w:cs="Verdana"/>
                <w:bCs/>
                <w:sz w:val="24"/>
                <w:szCs w:val="24"/>
              </w:rPr>
              <w:t xml:space="preserve"> agregado </w:t>
            </w:r>
            <w:r w:rsidR="00BA096F" w:rsidRPr="00BA096F">
              <w:rPr>
                <w:rFonts w:ascii="Verdana" w:hAnsi="Verdana" w:cs="Verdana"/>
                <w:bCs/>
                <w:sz w:val="24"/>
                <w:szCs w:val="24"/>
              </w:rPr>
              <w:t>que tradicionalmente estão ligados ao financiamento.</w:t>
            </w:r>
            <w:r w:rsidR="00BA096F">
              <w:rPr>
                <w:rFonts w:ascii="Verdana" w:hAnsi="Verdana" w:cs="Verdana"/>
                <w:bCs/>
                <w:sz w:val="24"/>
                <w:szCs w:val="24"/>
              </w:rPr>
              <w:t xml:space="preserve"> Além disso, com o</w:t>
            </w:r>
            <w:r w:rsidR="00BA096F" w:rsidRPr="00BA096F">
              <w:rPr>
                <w:rFonts w:ascii="Verdana" w:hAnsi="Verdana" w:cs="Verdana"/>
                <w:bCs/>
                <w:sz w:val="24"/>
                <w:szCs w:val="24"/>
              </w:rPr>
              <w:t xml:space="preserve"> </w:t>
            </w:r>
            <w:r w:rsidR="00BA096F"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aumento no custo de vida, </w:t>
            </w:r>
            <w:r w:rsidR="00BA096F">
              <w:rPr>
                <w:rFonts w:ascii="Verdana" w:hAnsi="Verdana" w:cs="Verdana"/>
                <w:bCs/>
                <w:sz w:val="24"/>
                <w:szCs w:val="24"/>
              </w:rPr>
              <w:t xml:space="preserve">devido </w:t>
            </w:r>
            <w:r w:rsidR="00A96FB2">
              <w:rPr>
                <w:rFonts w:ascii="Verdana" w:hAnsi="Verdana" w:cs="Verdana"/>
                <w:bCs/>
                <w:sz w:val="24"/>
                <w:szCs w:val="24"/>
              </w:rPr>
              <w:t>à</w:t>
            </w:r>
            <w:r w:rsidR="00BA096F">
              <w:rPr>
                <w:rFonts w:ascii="Verdana" w:hAnsi="Verdana" w:cs="Verdana"/>
                <w:bCs/>
                <w:sz w:val="24"/>
                <w:szCs w:val="24"/>
              </w:rPr>
              <w:t xml:space="preserve"> inflação e perda na renda</w:t>
            </w:r>
            <w:r w:rsidR="004B7A0A" w:rsidRPr="004B7A0A">
              <w:rPr>
                <w:rFonts w:ascii="Verdana" w:hAnsi="Verdana" w:cs="Verdana"/>
                <w:bCs/>
                <w:color w:val="FF0000"/>
                <w:sz w:val="24"/>
                <w:szCs w:val="24"/>
              </w:rPr>
              <w:t>,</w:t>
            </w:r>
            <w:r w:rsidR="00BA096F">
              <w:rPr>
                <w:rFonts w:ascii="Verdana" w:hAnsi="Verdana" w:cs="Verdana"/>
                <w:bCs/>
                <w:sz w:val="24"/>
                <w:szCs w:val="24"/>
              </w:rPr>
              <w:t xml:space="preserve"> os </w:t>
            </w:r>
            <w:r w:rsidR="00BA096F"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consumidores estão cada vez mais sendo pressionados a diminuírem seu consumo para manterem as contas básicas de casa quitadas e </w:t>
            </w:r>
            <w:r w:rsidR="00BA096F">
              <w:rPr>
                <w:rFonts w:ascii="Verdana" w:hAnsi="Verdana" w:cs="Verdana"/>
                <w:bCs/>
                <w:sz w:val="24"/>
                <w:szCs w:val="24"/>
              </w:rPr>
              <w:t>evitando ficarem</w:t>
            </w:r>
            <w:r w:rsidR="00BA096F" w:rsidRPr="00D46514">
              <w:rPr>
                <w:rFonts w:ascii="Verdana" w:hAnsi="Verdana" w:cs="Verdana"/>
                <w:bCs/>
                <w:sz w:val="24"/>
                <w:szCs w:val="24"/>
              </w:rPr>
              <w:t xml:space="preserve"> inadimplentes. </w:t>
            </w:r>
          </w:p>
          <w:p w:rsidR="002D7D4D" w:rsidRPr="004121F0" w:rsidRDefault="002D7D4D" w:rsidP="0019706F">
            <w:pPr>
              <w:spacing w:before="120" w:after="120" w:line="360" w:lineRule="auto"/>
              <w:ind w:firstLine="709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  <w:r w:rsidRPr="004121F0">
              <w:rPr>
                <w:rFonts w:ascii="Verdana" w:hAnsi="Verdana" w:cs="Verdana"/>
                <w:b/>
                <w:bCs/>
                <w:sz w:val="24"/>
                <w:szCs w:val="24"/>
              </w:rPr>
              <w:t>Setores que apresentaram crescimento</w:t>
            </w:r>
            <w:r w:rsidRPr="004121F0">
              <w:rPr>
                <w:rFonts w:ascii="Verdana" w:hAnsi="Verdana" w:cs="Verdana"/>
                <w:sz w:val="24"/>
                <w:szCs w:val="24"/>
              </w:rPr>
              <w:t xml:space="preserve">: </w:t>
            </w:r>
            <w:r w:rsidR="004121F0" w:rsidRPr="004121F0">
              <w:rPr>
                <w:rFonts w:ascii="Verdana" w:hAnsi="Verdana" w:cs="Verdana"/>
                <w:sz w:val="24"/>
                <w:szCs w:val="24"/>
              </w:rPr>
              <w:t xml:space="preserve">Ferragem Material Elétrico e de Construção </w:t>
            </w:r>
            <w:r w:rsidRPr="004121F0">
              <w:rPr>
                <w:rFonts w:ascii="Verdana" w:hAnsi="Verdana" w:cs="Verdana"/>
                <w:sz w:val="24"/>
                <w:szCs w:val="24"/>
              </w:rPr>
              <w:t>(+</w:t>
            </w:r>
            <w:r w:rsidR="004121F0" w:rsidRPr="004121F0">
              <w:rPr>
                <w:rFonts w:ascii="Verdana" w:hAnsi="Verdana" w:cs="Verdana"/>
                <w:sz w:val="24"/>
                <w:szCs w:val="24"/>
              </w:rPr>
              <w:t>2,2</w:t>
            </w:r>
            <w:r w:rsidR="00BF02C8">
              <w:rPr>
                <w:rFonts w:ascii="Verdana" w:hAnsi="Verdana" w:cs="Verdana"/>
                <w:sz w:val="24"/>
                <w:szCs w:val="24"/>
              </w:rPr>
              <w:t>5</w:t>
            </w:r>
            <w:r w:rsidR="00A176B9">
              <w:rPr>
                <w:rFonts w:ascii="Verdana" w:hAnsi="Verdana" w:cs="Verdana"/>
                <w:sz w:val="24"/>
                <w:szCs w:val="24"/>
              </w:rPr>
              <w:t>%);</w:t>
            </w:r>
            <w:r w:rsidR="00A176B9" w:rsidRPr="004121F0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="00E35F3F" w:rsidRPr="00E35F3F">
              <w:rPr>
                <w:rFonts w:ascii="Verdana" w:hAnsi="Verdana" w:cs="Verdana"/>
                <w:sz w:val="24"/>
                <w:szCs w:val="24"/>
              </w:rPr>
              <w:t>Prod. Farmacêuticos, Odontológicos e Veterinários</w:t>
            </w:r>
            <w:r w:rsidR="00A176B9" w:rsidRPr="004121F0">
              <w:rPr>
                <w:rFonts w:ascii="Verdana" w:hAnsi="Verdana" w:cs="Verdana"/>
                <w:sz w:val="24"/>
                <w:szCs w:val="24"/>
              </w:rPr>
              <w:t xml:space="preserve"> (+</w:t>
            </w:r>
            <w:r w:rsidR="00A176B9">
              <w:rPr>
                <w:rFonts w:ascii="Verdana" w:hAnsi="Verdana" w:cs="Verdana"/>
                <w:sz w:val="24"/>
                <w:szCs w:val="24"/>
              </w:rPr>
              <w:t>0,6</w:t>
            </w:r>
            <w:r w:rsidR="00BF02C8">
              <w:rPr>
                <w:rFonts w:ascii="Verdana" w:hAnsi="Verdana" w:cs="Verdana"/>
                <w:sz w:val="24"/>
                <w:szCs w:val="24"/>
              </w:rPr>
              <w:t>4</w:t>
            </w:r>
            <w:r w:rsidR="00A176B9">
              <w:rPr>
                <w:rFonts w:ascii="Verdana" w:hAnsi="Verdana" w:cs="Verdana"/>
                <w:sz w:val="24"/>
                <w:szCs w:val="24"/>
              </w:rPr>
              <w:t>%).</w:t>
            </w:r>
          </w:p>
          <w:p w:rsidR="00D46514" w:rsidRPr="009E179E" w:rsidRDefault="00D46514" w:rsidP="009E179E">
            <w:pPr>
              <w:spacing w:before="120" w:after="120"/>
              <w:jc w:val="both"/>
              <w:rPr>
                <w:rFonts w:ascii="Verdana" w:hAnsi="Verdana" w:cs="Verdana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</w:p>
        </w:tc>
      </w:tr>
      <w:tr w:rsidR="000A29BF" w:rsidRPr="009E179E" w:rsidTr="00B85664">
        <w:tc>
          <w:tcPr>
            <w:tcW w:w="10345" w:type="dxa"/>
            <w:shd w:val="clear" w:color="auto" w:fill="89AAD3"/>
            <w:vAlign w:val="center"/>
          </w:tcPr>
          <w:p w:rsidR="000A29BF" w:rsidRPr="0019706F" w:rsidRDefault="000A29BF" w:rsidP="004B7A0A">
            <w:pPr>
              <w:spacing w:before="120" w:after="120" w:line="360" w:lineRule="auto"/>
              <w:jc w:val="both"/>
              <w:rPr>
                <w:rFonts w:ascii="Verdana" w:hAnsi="Verdana" w:cs="Verdana"/>
                <w:sz w:val="24"/>
                <w:szCs w:val="24"/>
              </w:rPr>
            </w:pPr>
            <w:r w:rsidRPr="002D7D4D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lastRenderedPageBreak/>
              <w:t xml:space="preserve">BASE </w:t>
            </w:r>
            <w:r w:rsidR="004B7A0A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III</w:t>
            </w:r>
            <w:r w:rsidRPr="002D7D4D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 xml:space="preserve">: Igual Período do Ano Anterior 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(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Jan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5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-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Fev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.15)/(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Jan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.1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4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-</w:t>
            </w:r>
            <w:r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Fev</w:t>
            </w:r>
            <w:r w:rsidRPr="002D7D4D">
              <w:rPr>
                <w:rFonts w:ascii="Verdana" w:hAnsi="Verdana" w:cs="Tahoma"/>
                <w:b/>
                <w:bCs/>
                <w:color w:val="FFFFFF" w:themeColor="background1"/>
                <w:sz w:val="24"/>
                <w:u w:val="single"/>
              </w:rPr>
              <w:t>.14)</w:t>
            </w:r>
          </w:p>
        </w:tc>
      </w:tr>
      <w:tr w:rsidR="000A29BF" w:rsidRPr="009E179E" w:rsidTr="000A29BF">
        <w:tc>
          <w:tcPr>
            <w:tcW w:w="10345" w:type="dxa"/>
            <w:shd w:val="clear" w:color="auto" w:fill="auto"/>
            <w:vAlign w:val="center"/>
          </w:tcPr>
          <w:p w:rsidR="000A29BF" w:rsidRDefault="00A17952" w:rsidP="00A17952">
            <w:pPr>
              <w:spacing w:before="120" w:after="120" w:line="360" w:lineRule="auto"/>
              <w:jc w:val="both"/>
              <w:rPr>
                <w:rFonts w:ascii="Verdana" w:hAnsi="Verdana" w:cs="Verdana"/>
                <w:bCs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="00B85664">
              <w:rPr>
                <w:rFonts w:ascii="Verdana" w:hAnsi="Verdana" w:cs="Verdana"/>
                <w:sz w:val="24"/>
                <w:szCs w:val="24"/>
              </w:rPr>
              <w:t xml:space="preserve">        </w:t>
            </w:r>
            <w:r>
              <w:rPr>
                <w:rFonts w:ascii="Verdana" w:hAnsi="Verdana" w:cs="Verdana"/>
                <w:sz w:val="24"/>
                <w:szCs w:val="24"/>
              </w:rPr>
              <w:t>No acumulado do ano</w:t>
            </w:r>
            <w:r w:rsidRPr="00D46514">
              <w:rPr>
                <w:rFonts w:ascii="Verdana" w:hAnsi="Verdana" w:cs="Verdana"/>
                <w:sz w:val="24"/>
                <w:szCs w:val="24"/>
              </w:rPr>
              <w:t xml:space="preserve">, 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as vendas apresentaram um decréscimo de </w:t>
            </w:r>
            <w:r w:rsidRPr="00D46514">
              <w:rPr>
                <w:rFonts w:ascii="Verdana" w:hAnsi="Verdana" w:cs="Verdana"/>
                <w:b/>
                <w:bCs/>
                <w:sz w:val="24"/>
                <w:szCs w:val="24"/>
              </w:rPr>
              <w:t>-</w:t>
            </w:r>
            <w:r w:rsidR="004121F0">
              <w:rPr>
                <w:rFonts w:ascii="Verdana" w:hAnsi="Verdana" w:cs="Verdana"/>
                <w:b/>
                <w:bCs/>
                <w:sz w:val="24"/>
                <w:szCs w:val="24"/>
              </w:rPr>
              <w:t>1,0</w:t>
            </w:r>
            <w:r w:rsidR="00BF02C8">
              <w:rPr>
                <w:rFonts w:ascii="Verdana" w:hAnsi="Verdana" w:cs="Verdana"/>
                <w:b/>
                <w:bCs/>
                <w:sz w:val="24"/>
                <w:szCs w:val="24"/>
              </w:rPr>
              <w:t>4</w:t>
            </w:r>
            <w:r w:rsidR="004121F0">
              <w:rPr>
                <w:rFonts w:ascii="Verdana" w:hAnsi="Verdana" w:cs="Verdana"/>
                <w:b/>
                <w:bCs/>
                <w:sz w:val="24"/>
                <w:szCs w:val="24"/>
              </w:rPr>
              <w:t>%</w:t>
            </w:r>
            <w:r w:rsidRPr="00D46514">
              <w:rPr>
                <w:rFonts w:ascii="Verdana" w:hAnsi="Verdana" w:cs="Verdana"/>
                <w:b/>
                <w:bCs/>
                <w:sz w:val="24"/>
                <w:szCs w:val="24"/>
              </w:rPr>
              <w:t>.</w:t>
            </w:r>
            <w:r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 </w:t>
            </w:r>
            <w:r w:rsidRPr="00A17952">
              <w:rPr>
                <w:rFonts w:ascii="Verdana" w:hAnsi="Verdana" w:cs="Verdana"/>
                <w:bCs/>
                <w:sz w:val="24"/>
                <w:szCs w:val="24"/>
              </w:rPr>
              <w:t>A queda é reflexo, do aumento da taxa desocupação, alta dos juros, inflação alta e perda na renda real.</w:t>
            </w:r>
          </w:p>
          <w:p w:rsidR="00A17952" w:rsidRPr="002D7D4D" w:rsidRDefault="00A17952" w:rsidP="00BF02C8">
            <w:pPr>
              <w:spacing w:before="120" w:after="120" w:line="360" w:lineRule="auto"/>
              <w:ind w:firstLine="709"/>
              <w:jc w:val="both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</w:tc>
      </w:tr>
      <w:tr w:rsidR="002D7D4D" w:rsidRPr="002D7D4D" w:rsidTr="002D7D4D">
        <w:tc>
          <w:tcPr>
            <w:tcW w:w="10345" w:type="dxa"/>
            <w:shd w:val="clear" w:color="auto" w:fill="89AAD3"/>
            <w:vAlign w:val="center"/>
          </w:tcPr>
          <w:p w:rsidR="002D7D4D" w:rsidRPr="002D7D4D" w:rsidRDefault="00A17952" w:rsidP="004B7A0A">
            <w:pPr>
              <w:spacing w:before="120" w:after="120" w:line="360" w:lineRule="auto"/>
              <w:jc w:val="both"/>
              <w:rPr>
                <w:rFonts w:ascii="Verdana" w:hAnsi="Verdana" w:cs="Verdana"/>
                <w:color w:val="FFFFFF" w:themeColor="background1"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 xml:space="preserve">BASE </w:t>
            </w:r>
            <w:r w:rsidR="004B7A0A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IV</w:t>
            </w:r>
            <w:r w:rsidR="000A29BF" w:rsidRPr="002D7D4D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 xml:space="preserve">: 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Últimos Doze Meses (Mar.1</w:t>
            </w:r>
            <w:r w:rsidR="00937275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4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-Fev.1</w:t>
            </w:r>
            <w:r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5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/Mar.1</w:t>
            </w:r>
            <w:r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3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-Fev.1</w:t>
            </w:r>
            <w:r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4</w:t>
            </w:r>
            <w:r w:rsidRPr="00A17952"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  <w:t>)</w:t>
            </w:r>
          </w:p>
        </w:tc>
      </w:tr>
      <w:tr w:rsidR="002D7D4D" w:rsidRPr="002D7D4D" w:rsidTr="00A176B9">
        <w:tc>
          <w:tcPr>
            <w:tcW w:w="10345" w:type="dxa"/>
            <w:shd w:val="clear" w:color="auto" w:fill="auto"/>
            <w:vAlign w:val="center"/>
          </w:tcPr>
          <w:p w:rsidR="006D15B3" w:rsidRPr="009B50CE" w:rsidRDefault="00244AF4" w:rsidP="00244AF4">
            <w:pPr>
              <w:pStyle w:val="NormalWeb"/>
              <w:shd w:val="clear" w:color="auto" w:fill="FFFFFF"/>
              <w:spacing w:after="120" w:line="360" w:lineRule="auto"/>
              <w:ind w:firstLine="0"/>
            </w:pPr>
            <w:r>
              <w:rPr>
                <w:rFonts w:cs="Tahoma"/>
              </w:rPr>
              <w:t xml:space="preserve">        </w:t>
            </w:r>
            <w:r w:rsidR="0019706F" w:rsidRPr="004F51B0">
              <w:rPr>
                <w:rFonts w:cs="Tahoma"/>
              </w:rPr>
              <w:t>No acumulado de 12 meses</w:t>
            </w:r>
            <w:r w:rsidR="004121F0">
              <w:rPr>
                <w:rFonts w:cs="Tahoma"/>
              </w:rPr>
              <w:t xml:space="preserve">, o varejo apresentou queda </w:t>
            </w:r>
            <w:r w:rsidR="002D7D4D" w:rsidRPr="004F51B0">
              <w:rPr>
                <w:rFonts w:cs="Tahoma"/>
                <w:b/>
              </w:rPr>
              <w:t>de</w:t>
            </w:r>
            <w:r w:rsidR="002D7D4D" w:rsidRPr="004F51B0">
              <w:rPr>
                <w:rFonts w:cs="Tahoma"/>
              </w:rPr>
              <w:t xml:space="preserve"> </w:t>
            </w:r>
            <w:r w:rsidR="004121F0">
              <w:rPr>
                <w:rFonts w:cs="Tahoma"/>
                <w:b/>
              </w:rPr>
              <w:t>-2,2</w:t>
            </w:r>
            <w:r w:rsidR="00BF02C8">
              <w:rPr>
                <w:rFonts w:cs="Tahoma"/>
                <w:b/>
              </w:rPr>
              <w:t>0</w:t>
            </w:r>
            <w:r w:rsidR="002D7D4D" w:rsidRPr="004F51B0">
              <w:rPr>
                <w:rFonts w:cs="Tahoma"/>
                <w:b/>
                <w:bCs/>
              </w:rPr>
              <w:t>%</w:t>
            </w:r>
            <w:r w:rsidR="002D7D4D" w:rsidRPr="004F51B0">
              <w:rPr>
                <w:rFonts w:cs="Tahoma"/>
                <w:b/>
              </w:rPr>
              <w:t xml:space="preserve">. </w:t>
            </w:r>
            <w:r w:rsidR="0013138F" w:rsidRPr="0013138F">
              <w:rPr>
                <w:rFonts w:cs="Tahoma"/>
              </w:rPr>
              <w:t>E</w:t>
            </w:r>
            <w:r w:rsidR="00D46514" w:rsidRPr="004F51B0">
              <w:rPr>
                <w:rFonts w:cs="Tahoma"/>
              </w:rPr>
              <w:t xml:space="preserve">ste índice tem apresentado sucessivas reduções de seu valor, conforme visualizado no gráfico abaixo, demonstrando uma diminuição na intensidade da atividade comercial em Belo Horizonte. </w:t>
            </w:r>
            <w:r w:rsidR="002C3EBF" w:rsidRPr="006D15B3">
              <w:rPr>
                <w:rFonts w:cs="Tahoma"/>
              </w:rPr>
              <w:t>O índice de desemprego na capital mineira apresentou alta de 3,</w:t>
            </w:r>
            <w:r w:rsidR="006D15B3" w:rsidRPr="006D15B3">
              <w:rPr>
                <w:rFonts w:cs="Tahoma"/>
              </w:rPr>
              <w:t>9</w:t>
            </w:r>
            <w:r w:rsidR="002C3EBF" w:rsidRPr="006D15B3">
              <w:rPr>
                <w:rFonts w:cs="Tahoma"/>
              </w:rPr>
              <w:t>% para 4,</w:t>
            </w:r>
            <w:r w:rsidR="006D15B3" w:rsidRPr="006D15B3">
              <w:rPr>
                <w:rFonts w:cs="Tahoma"/>
              </w:rPr>
              <w:t>9</w:t>
            </w:r>
            <w:r w:rsidR="002C3EBF" w:rsidRPr="006D15B3">
              <w:rPr>
                <w:rFonts w:cs="Tahoma"/>
              </w:rPr>
              <w:t xml:space="preserve">% na comparação entre </w:t>
            </w:r>
            <w:r w:rsidR="006D15B3" w:rsidRPr="006D15B3">
              <w:rPr>
                <w:rFonts w:cs="Tahoma"/>
              </w:rPr>
              <w:t>fevereiro de 2014</w:t>
            </w:r>
            <w:r w:rsidR="002C3EBF" w:rsidRPr="006D15B3">
              <w:rPr>
                <w:rFonts w:cs="Tahoma"/>
              </w:rPr>
              <w:t xml:space="preserve"> e de </w:t>
            </w:r>
            <w:r w:rsidR="006D15B3" w:rsidRPr="006D15B3">
              <w:rPr>
                <w:rFonts w:cs="Tahoma"/>
              </w:rPr>
              <w:t xml:space="preserve"> Fev.</w:t>
            </w:r>
            <w:r w:rsidR="002C3EBF" w:rsidRPr="006D15B3">
              <w:rPr>
                <w:rFonts w:cs="Tahoma"/>
              </w:rPr>
              <w:t>2015 e a renda média real apresentou queda de -</w:t>
            </w:r>
            <w:r w:rsidR="006D15B3" w:rsidRPr="006D15B3">
              <w:rPr>
                <w:rFonts w:cs="Tahoma"/>
              </w:rPr>
              <w:t>3,2</w:t>
            </w:r>
            <w:r w:rsidR="002C3EBF" w:rsidRPr="006D15B3">
              <w:rPr>
                <w:rFonts w:cs="Tahoma"/>
              </w:rPr>
              <w:t xml:space="preserve">% no mesmo período. </w:t>
            </w:r>
            <w:r w:rsidR="006D15B3" w:rsidRPr="006D15B3">
              <w:rPr>
                <w:rFonts w:cs="Tahoma"/>
              </w:rPr>
              <w:t xml:space="preserve">Ao mesmo tempo, </w:t>
            </w:r>
            <w:r w:rsidR="006D15B3" w:rsidRPr="009B50CE">
              <w:t xml:space="preserve">a alta do dólar e dos preços administrados (como telefonia, água, energia, combustíveis e tarifas de ônibus, entre outros) </w:t>
            </w:r>
            <w:r w:rsidR="006D15B3">
              <w:t>vem pressionando</w:t>
            </w:r>
            <w:r w:rsidR="006D15B3" w:rsidRPr="009B50CE">
              <w:t xml:space="preserve"> os preços em 2015. Além disso, a inflação de serviços, impulsionada pelos ganhos reais de salários, segue elevada.</w:t>
            </w:r>
          </w:p>
          <w:p w:rsidR="002D7D4D" w:rsidRPr="004F51B0" w:rsidRDefault="006D15B3" w:rsidP="002D7D4D">
            <w:pPr>
              <w:pStyle w:val="NormalWeb"/>
              <w:shd w:val="clear" w:color="auto" w:fill="FFFFFF"/>
              <w:spacing w:after="120" w:line="360" w:lineRule="auto"/>
              <w:ind w:firstLine="709"/>
              <w:rPr>
                <w:bCs/>
              </w:rPr>
            </w:pPr>
            <w:r>
              <w:rPr>
                <w:rFonts w:cs="Tahoma"/>
              </w:rPr>
              <w:t xml:space="preserve"> Nesse sentido,</w:t>
            </w:r>
            <w:r w:rsidR="004F51B0" w:rsidRPr="004F51B0">
              <w:rPr>
                <w:rFonts w:cs="Tahoma"/>
              </w:rPr>
              <w:t xml:space="preserve"> menos pessoas dispõem de renda livre para consumo, pois seus orçamentos já estão comprometidos com os custos básicos, e preferem ficar </w:t>
            </w:r>
            <w:r w:rsidR="004F51B0" w:rsidRPr="004F51B0">
              <w:rPr>
                <w:rFonts w:cs="Tahoma"/>
              </w:rPr>
              <w:lastRenderedPageBreak/>
              <w:t>mais cautelosos quanto ao consumo considerado supérfluo, para evitar dívidas que futuramente não possam pagar.</w:t>
            </w:r>
            <w:r w:rsidR="00937275">
              <w:rPr>
                <w:rFonts w:cs="Tahoma"/>
              </w:rPr>
              <w:t xml:space="preserve"> A </w:t>
            </w:r>
            <w:r w:rsidR="00937275">
              <w:rPr>
                <w:color w:val="000000"/>
              </w:rPr>
              <w:t>tendência das vendas para os próximos meses é de repetição do cenário mais desaquecido visto em 2014. Sem indícios de recuperação da economia, os consumidores vão continuar mais cautelosos e se</w:t>
            </w:r>
            <w:r>
              <w:rPr>
                <w:color w:val="000000"/>
              </w:rPr>
              <w:t>m se</w:t>
            </w:r>
            <w:r w:rsidR="00937275">
              <w:rPr>
                <w:color w:val="000000"/>
              </w:rPr>
              <w:t xml:space="preserve"> comprometer com compras principalmente a prazo.</w:t>
            </w:r>
          </w:p>
          <w:p w:rsidR="004F51B0" w:rsidRPr="004121F0" w:rsidRDefault="002D7D4D" w:rsidP="004F51B0">
            <w:pPr>
              <w:spacing w:after="120" w:line="360" w:lineRule="auto"/>
              <w:ind w:firstLine="709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121F0">
              <w:rPr>
                <w:rFonts w:ascii="Verdana" w:hAnsi="Verdana"/>
                <w:b/>
                <w:bCs/>
                <w:sz w:val="24"/>
              </w:rPr>
              <w:t>Setores que apresentaram crescimento</w:t>
            </w:r>
            <w:r w:rsidRPr="004121F0">
              <w:rPr>
                <w:rFonts w:ascii="Verdana" w:hAnsi="Verdana"/>
                <w:sz w:val="24"/>
              </w:rPr>
              <w:t xml:space="preserve">: </w:t>
            </w:r>
            <w:r w:rsidR="0019706F" w:rsidRPr="004121F0">
              <w:rPr>
                <w:rFonts w:ascii="Verdana" w:hAnsi="Verdana" w:cs="Verdana"/>
                <w:sz w:val="24"/>
                <w:szCs w:val="24"/>
              </w:rPr>
              <w:t>Papelarias e Livrarias (+</w:t>
            </w:r>
            <w:r w:rsidR="004121F0" w:rsidRPr="004121F0">
              <w:rPr>
                <w:rFonts w:ascii="Verdana" w:hAnsi="Verdana" w:cs="Verdana"/>
                <w:sz w:val="24"/>
                <w:szCs w:val="24"/>
              </w:rPr>
              <w:t>4,</w:t>
            </w:r>
            <w:r w:rsidR="00BF02C8">
              <w:rPr>
                <w:rFonts w:ascii="Verdana" w:hAnsi="Verdana" w:cs="Verdana"/>
                <w:sz w:val="24"/>
                <w:szCs w:val="24"/>
              </w:rPr>
              <w:t>57</w:t>
            </w:r>
            <w:r w:rsidR="0019706F" w:rsidRPr="004121F0">
              <w:rPr>
                <w:rFonts w:ascii="Verdana" w:hAnsi="Verdana" w:cs="Verdana"/>
                <w:sz w:val="24"/>
                <w:szCs w:val="24"/>
              </w:rPr>
              <w:t>%); Supermercados e produtos alimentícios (+</w:t>
            </w:r>
            <w:r w:rsidR="00BF02C8">
              <w:rPr>
                <w:rFonts w:ascii="Verdana" w:hAnsi="Verdana" w:cs="Verdana"/>
                <w:sz w:val="24"/>
                <w:szCs w:val="24"/>
              </w:rPr>
              <w:t>1,99</w:t>
            </w:r>
            <w:r w:rsidR="0019706F" w:rsidRPr="004121F0">
              <w:rPr>
                <w:rFonts w:ascii="Verdana" w:hAnsi="Verdana" w:cs="Verdana"/>
                <w:sz w:val="24"/>
                <w:szCs w:val="24"/>
              </w:rPr>
              <w:t xml:space="preserve">%); </w:t>
            </w:r>
            <w:r w:rsidR="004F1494" w:rsidRPr="004121F0">
              <w:rPr>
                <w:rFonts w:ascii="Verdana" w:hAnsi="Verdana" w:cs="Verdana"/>
                <w:sz w:val="24"/>
                <w:szCs w:val="24"/>
              </w:rPr>
              <w:t>Artigos Diversos</w:t>
            </w:r>
            <w:r w:rsidR="004121F0" w:rsidRPr="004121F0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="004F1494" w:rsidRPr="004121F0">
              <w:rPr>
                <w:rFonts w:ascii="Verdana" w:hAnsi="Verdana" w:cs="Verdana"/>
                <w:sz w:val="24"/>
                <w:szCs w:val="24"/>
              </w:rPr>
              <w:t>(+</w:t>
            </w:r>
            <w:r w:rsidR="004121F0" w:rsidRPr="004121F0">
              <w:rPr>
                <w:rFonts w:ascii="Verdana" w:hAnsi="Verdana" w:cs="Verdana"/>
                <w:sz w:val="24"/>
                <w:szCs w:val="24"/>
              </w:rPr>
              <w:t>0,1</w:t>
            </w:r>
            <w:r w:rsidR="00BF02C8">
              <w:rPr>
                <w:rFonts w:ascii="Verdana" w:hAnsi="Verdana" w:cs="Verdana"/>
                <w:sz w:val="24"/>
                <w:szCs w:val="24"/>
              </w:rPr>
              <w:t>0%).</w:t>
            </w:r>
          </w:p>
          <w:p w:rsidR="004F51B0" w:rsidRDefault="004F51B0" w:rsidP="005655D7">
            <w:pPr>
              <w:pStyle w:val="Recuodecorpodetexto3"/>
              <w:ind w:firstLine="0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2C3EBF" w:rsidRPr="002C3EBF" w:rsidRDefault="002C3EBF" w:rsidP="002C3EBF">
            <w:pPr>
              <w:pStyle w:val="Recuodecorpodetexto3"/>
              <w:ind w:firstLine="0"/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C3EBF">
              <w:rPr>
                <w:rFonts w:ascii="Arial" w:hAnsi="Arial" w:cs="Arial"/>
                <w:b/>
                <w:bCs/>
                <w:sz w:val="28"/>
                <w:szCs w:val="28"/>
              </w:rPr>
              <w:t>Gráfico 1: Evolução das vendas na comparação com últimos 12 meses</w:t>
            </w:r>
          </w:p>
          <w:p w:rsidR="004F51B0" w:rsidRDefault="00A176B9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C2285CE" wp14:editId="5374259F">
                  <wp:extent cx="6033052" cy="2902226"/>
                  <wp:effectExtent l="0" t="0" r="0" b="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:rsidR="004F51B0" w:rsidRPr="00A9688A" w:rsidRDefault="004F51B0" w:rsidP="004F51B0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</w:rPr>
            </w:pPr>
            <w:r w:rsidRPr="00A9688A">
              <w:rPr>
                <w:rFonts w:ascii="Verdana" w:hAnsi="Verdana" w:cs="Verdana"/>
              </w:rPr>
              <w:t>Fonte: CDL/BH – Pesquisa &amp; Mercado – Setor: Pesquisa e Desenvolvimento</w:t>
            </w:r>
          </w:p>
          <w:p w:rsidR="004F51B0" w:rsidRDefault="004F51B0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  <w:p w:rsidR="00B85664" w:rsidRDefault="00B85664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  <w:p w:rsidR="00B85664" w:rsidRDefault="00B85664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  <w:p w:rsidR="00B85664" w:rsidRDefault="00B85664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  <w:p w:rsidR="00B85664" w:rsidRDefault="00B85664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  <w:p w:rsidR="00B85664" w:rsidRDefault="00B85664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  <w:p w:rsidR="00B85664" w:rsidRDefault="00B85664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  <w:p w:rsidR="00B85664" w:rsidRDefault="00B85664" w:rsidP="004F51B0">
            <w:pPr>
              <w:spacing w:before="120" w:after="120"/>
              <w:jc w:val="center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  <w:p w:rsidR="00B85664" w:rsidRPr="002D7D4D" w:rsidRDefault="00B85664" w:rsidP="00B85664">
            <w:pPr>
              <w:spacing w:before="120" w:after="120"/>
              <w:rPr>
                <w:rFonts w:ascii="Verdana" w:hAnsi="Verdana"/>
                <w:b/>
                <w:bCs/>
                <w:color w:val="FFFFFF" w:themeColor="background1"/>
                <w:sz w:val="24"/>
                <w:u w:val="single"/>
              </w:rPr>
            </w:pPr>
          </w:p>
        </w:tc>
      </w:tr>
    </w:tbl>
    <w:p w:rsidR="00B85664" w:rsidRDefault="00B85664" w:rsidP="00B31C5C">
      <w:pPr>
        <w:autoSpaceDE w:val="0"/>
        <w:autoSpaceDN w:val="0"/>
        <w:adjustRightInd w:val="0"/>
        <w:rPr>
          <w:rFonts w:ascii="Verdana" w:hAnsi="Verdana" w:cs="Verdana"/>
          <w:color w:val="FF0000"/>
        </w:rPr>
      </w:pPr>
    </w:p>
    <w:p w:rsidR="00DC7FF8" w:rsidRPr="009E179E" w:rsidRDefault="00DC7FF8" w:rsidP="00B31C5C">
      <w:pPr>
        <w:autoSpaceDE w:val="0"/>
        <w:autoSpaceDN w:val="0"/>
        <w:adjustRightInd w:val="0"/>
        <w:rPr>
          <w:rFonts w:ascii="Verdana" w:hAnsi="Verdana" w:cs="Verdana"/>
          <w:color w:val="FF0000"/>
        </w:rPr>
      </w:pPr>
    </w:p>
    <w:tbl>
      <w:tblPr>
        <w:tblW w:w="0" w:type="auto"/>
        <w:jc w:val="center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2551"/>
        <w:gridCol w:w="2935"/>
      </w:tblGrid>
      <w:tr w:rsidR="002D7D4D" w:rsidRPr="002D7D4D" w:rsidTr="00DC7FF8">
        <w:trPr>
          <w:trHeight w:val="239"/>
          <w:jc w:val="center"/>
        </w:trPr>
        <w:tc>
          <w:tcPr>
            <w:tcW w:w="2160" w:type="dxa"/>
            <w:vMerge w:val="restart"/>
            <w:shd w:val="clear" w:color="auto" w:fill="89AAD3"/>
            <w:vAlign w:val="center"/>
          </w:tcPr>
          <w:p w:rsidR="007214D4" w:rsidRPr="002D7D4D" w:rsidRDefault="007214D4" w:rsidP="002D7D4D">
            <w:pPr>
              <w:pStyle w:val="Ttulo9"/>
              <w:spacing w:before="120" w:after="120"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2D7D4D">
              <w:rPr>
                <w:rFonts w:ascii="Verdana" w:hAnsi="Verdana" w:cs="Arial"/>
                <w:b/>
                <w:bCs/>
                <w:color w:val="FFFFFF" w:themeColor="background1"/>
              </w:rPr>
              <w:lastRenderedPageBreak/>
              <w:t>Mês/Ano</w:t>
            </w:r>
          </w:p>
        </w:tc>
        <w:tc>
          <w:tcPr>
            <w:tcW w:w="8186" w:type="dxa"/>
            <w:gridSpan w:val="3"/>
            <w:shd w:val="clear" w:color="auto" w:fill="4F81BD"/>
            <w:vAlign w:val="center"/>
          </w:tcPr>
          <w:p w:rsidR="007214D4" w:rsidRPr="002D7D4D" w:rsidRDefault="007214D4" w:rsidP="002D7D4D">
            <w:pPr>
              <w:pStyle w:val="Ttulo9"/>
              <w:spacing w:before="120" w:after="120"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2D7D4D">
              <w:rPr>
                <w:rFonts w:ascii="Verdana" w:hAnsi="Verdana" w:cs="Arial"/>
                <w:b/>
                <w:bCs/>
                <w:color w:val="FFFFFF" w:themeColor="background1"/>
              </w:rPr>
              <w:t>Síntese dos resultados (%)</w:t>
            </w:r>
          </w:p>
        </w:tc>
      </w:tr>
      <w:tr w:rsidR="009E179E" w:rsidRPr="009E179E" w:rsidTr="00DC7FF8">
        <w:trPr>
          <w:trHeight w:val="307"/>
          <w:jc w:val="center"/>
        </w:trPr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89AAD3"/>
            <w:vAlign w:val="center"/>
          </w:tcPr>
          <w:p w:rsidR="00D52FC6" w:rsidRPr="009E179E" w:rsidRDefault="00D52FC6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</w:rPr>
            </w:pPr>
          </w:p>
        </w:tc>
        <w:tc>
          <w:tcPr>
            <w:tcW w:w="2700" w:type="dxa"/>
            <w:shd w:val="clear" w:color="auto" w:fill="89AAD3"/>
            <w:vAlign w:val="center"/>
          </w:tcPr>
          <w:p w:rsidR="00D52FC6" w:rsidRPr="002D7D4D" w:rsidRDefault="00A957D5" w:rsidP="00A957D5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Fev</w:t>
            </w:r>
            <w:r w:rsidR="009E179E" w:rsidRPr="002D7D4D"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/</w:t>
            </w:r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Jan</w:t>
            </w:r>
          </w:p>
        </w:tc>
        <w:tc>
          <w:tcPr>
            <w:tcW w:w="2551" w:type="dxa"/>
            <w:shd w:val="clear" w:color="auto" w:fill="89AAD3"/>
            <w:vAlign w:val="center"/>
          </w:tcPr>
          <w:p w:rsidR="00D52FC6" w:rsidRPr="002D7D4D" w:rsidRDefault="00A957D5" w:rsidP="00A957D5">
            <w:pPr>
              <w:spacing w:before="120" w:after="120" w:line="276" w:lineRule="auto"/>
              <w:jc w:val="center"/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Fev</w:t>
            </w:r>
            <w:r w:rsidR="009E179E" w:rsidRPr="002D7D4D"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/</w:t>
            </w:r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Fev</w:t>
            </w:r>
          </w:p>
        </w:tc>
        <w:tc>
          <w:tcPr>
            <w:tcW w:w="2935" w:type="dxa"/>
            <w:shd w:val="clear" w:color="auto" w:fill="89AAD3"/>
            <w:vAlign w:val="center"/>
          </w:tcPr>
          <w:p w:rsidR="00D52FC6" w:rsidRPr="00A957D5" w:rsidRDefault="00A957D5" w:rsidP="002D7D4D">
            <w:pPr>
              <w:pStyle w:val="Ttulo9"/>
              <w:spacing w:before="120" w:after="120"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</w:pPr>
            <w:r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>Acumulado do ano</w:t>
            </w:r>
            <w:r w:rsidR="00D52FC6" w:rsidRPr="00A957D5">
              <w:rPr>
                <w:rFonts w:ascii="Verdana" w:hAnsi="Verdana" w:cs="Arial"/>
                <w:b/>
                <w:bCs/>
                <w:color w:val="FFFFFF" w:themeColor="background1"/>
                <w:sz w:val="22"/>
              </w:rPr>
              <w:t xml:space="preserve"> </w:t>
            </w:r>
          </w:p>
        </w:tc>
      </w:tr>
      <w:tr w:rsidR="00A957D5" w:rsidRPr="009E179E" w:rsidTr="003515F7">
        <w:trPr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957D5" w:rsidRPr="00A957D5" w:rsidRDefault="00A957D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A957D5">
              <w:rPr>
                <w:rFonts w:ascii="Verdana" w:hAnsi="Verdana" w:cs="Arial"/>
                <w:b/>
                <w:bCs/>
                <w:color w:val="FFFFFF" w:themeColor="background1"/>
              </w:rPr>
              <w:t>2006</w:t>
            </w:r>
          </w:p>
        </w:tc>
        <w:tc>
          <w:tcPr>
            <w:tcW w:w="2700" w:type="dxa"/>
          </w:tcPr>
          <w:p w:rsidR="00A957D5" w:rsidRPr="000A3198" w:rsidRDefault="00A957D5" w:rsidP="003515F7">
            <w:pPr>
              <w:jc w:val="center"/>
              <w:rPr>
                <w:rFonts w:ascii="Verdana" w:hAnsi="Verdana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/>
                <w:bCs/>
                <w:sz w:val="24"/>
                <w:szCs w:val="24"/>
                <w:lang w:val="en-US"/>
              </w:rPr>
              <w:t>-7,8</w:t>
            </w:r>
          </w:p>
        </w:tc>
        <w:tc>
          <w:tcPr>
            <w:tcW w:w="2551" w:type="dxa"/>
          </w:tcPr>
          <w:p w:rsidR="00A957D5" w:rsidRPr="000A3198" w:rsidRDefault="00A957D5" w:rsidP="003515F7">
            <w:pPr>
              <w:jc w:val="center"/>
              <w:rPr>
                <w:rFonts w:ascii="Verdana" w:hAnsi="Verdana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/>
                <w:bCs/>
                <w:sz w:val="24"/>
                <w:szCs w:val="24"/>
                <w:lang w:val="en-US"/>
              </w:rPr>
              <w:t>+21,2</w:t>
            </w:r>
          </w:p>
        </w:tc>
        <w:tc>
          <w:tcPr>
            <w:tcW w:w="2935" w:type="dxa"/>
          </w:tcPr>
          <w:p w:rsidR="00A957D5" w:rsidRPr="000A3198" w:rsidRDefault="00A957D5" w:rsidP="003515F7">
            <w:pPr>
              <w:jc w:val="center"/>
              <w:rPr>
                <w:rFonts w:ascii="Verdana" w:hAnsi="Verdana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/>
                <w:bCs/>
                <w:sz w:val="24"/>
                <w:szCs w:val="24"/>
                <w:lang w:val="en-US"/>
              </w:rPr>
              <w:t>+16,7</w:t>
            </w:r>
          </w:p>
        </w:tc>
      </w:tr>
      <w:tr w:rsidR="00A957D5" w:rsidRPr="009E179E" w:rsidTr="003515F7">
        <w:trPr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957D5" w:rsidRPr="00A957D5" w:rsidRDefault="00A957D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A957D5">
              <w:rPr>
                <w:rFonts w:ascii="Verdana" w:hAnsi="Verdana" w:cs="Arial"/>
                <w:b/>
                <w:bCs/>
                <w:color w:val="FFFFFF" w:themeColor="background1"/>
              </w:rPr>
              <w:t>2007</w:t>
            </w:r>
          </w:p>
        </w:tc>
        <w:tc>
          <w:tcPr>
            <w:tcW w:w="2700" w:type="dxa"/>
          </w:tcPr>
          <w:p w:rsidR="00A957D5" w:rsidRPr="000A3198" w:rsidRDefault="00A957D5" w:rsidP="003515F7">
            <w:pPr>
              <w:jc w:val="center"/>
              <w:rPr>
                <w:rFonts w:ascii="Verdana" w:hAnsi="Verdana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/>
                <w:bCs/>
                <w:sz w:val="24"/>
                <w:szCs w:val="24"/>
                <w:lang w:val="en-US"/>
              </w:rPr>
              <w:t>-10,3</w:t>
            </w:r>
          </w:p>
        </w:tc>
        <w:tc>
          <w:tcPr>
            <w:tcW w:w="2551" w:type="dxa"/>
          </w:tcPr>
          <w:p w:rsidR="00A957D5" w:rsidRPr="000A3198" w:rsidRDefault="00A957D5" w:rsidP="003515F7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/>
                <w:sz w:val="24"/>
                <w:szCs w:val="24"/>
                <w:lang w:val="en-US"/>
              </w:rPr>
              <w:t>-2,8</w:t>
            </w:r>
          </w:p>
        </w:tc>
        <w:tc>
          <w:tcPr>
            <w:tcW w:w="2935" w:type="dxa"/>
          </w:tcPr>
          <w:p w:rsidR="00A957D5" w:rsidRPr="000A3198" w:rsidRDefault="00A957D5" w:rsidP="003515F7">
            <w:pPr>
              <w:jc w:val="center"/>
              <w:rPr>
                <w:rFonts w:ascii="Verdana" w:hAnsi="Verdana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/>
                <w:bCs/>
                <w:sz w:val="24"/>
                <w:szCs w:val="24"/>
                <w:lang w:val="en-US"/>
              </w:rPr>
              <w:t>+3,5</w:t>
            </w:r>
          </w:p>
        </w:tc>
      </w:tr>
      <w:tr w:rsidR="00A957D5" w:rsidRPr="009E179E" w:rsidTr="003515F7">
        <w:trPr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957D5" w:rsidRPr="00A957D5" w:rsidRDefault="00A957D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A957D5">
              <w:rPr>
                <w:rFonts w:ascii="Verdana" w:hAnsi="Verdana" w:cs="Arial"/>
                <w:b/>
                <w:bCs/>
                <w:color w:val="FFFFFF" w:themeColor="background1"/>
              </w:rPr>
              <w:t>2008</w:t>
            </w:r>
          </w:p>
        </w:tc>
        <w:tc>
          <w:tcPr>
            <w:tcW w:w="2700" w:type="dxa"/>
          </w:tcPr>
          <w:p w:rsidR="00A957D5" w:rsidRPr="000A3198" w:rsidRDefault="00A957D5" w:rsidP="003515F7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/>
                <w:sz w:val="24"/>
                <w:szCs w:val="24"/>
                <w:lang w:val="en-US"/>
              </w:rPr>
              <w:t>-4,2</w:t>
            </w:r>
          </w:p>
        </w:tc>
        <w:tc>
          <w:tcPr>
            <w:tcW w:w="2551" w:type="dxa"/>
          </w:tcPr>
          <w:p w:rsidR="00A957D5" w:rsidRPr="000A3198" w:rsidRDefault="00A957D5" w:rsidP="003515F7">
            <w:pPr>
              <w:jc w:val="center"/>
              <w:rPr>
                <w:rFonts w:ascii="Verdana" w:hAnsi="Verdana"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/>
                <w:sz w:val="24"/>
                <w:szCs w:val="24"/>
                <w:lang w:val="en-US"/>
              </w:rPr>
              <w:t>+18,9</w:t>
            </w:r>
          </w:p>
        </w:tc>
        <w:tc>
          <w:tcPr>
            <w:tcW w:w="2935" w:type="dxa"/>
          </w:tcPr>
          <w:p w:rsidR="00A957D5" w:rsidRPr="000A3198" w:rsidRDefault="00A957D5" w:rsidP="003515F7">
            <w:pPr>
              <w:jc w:val="center"/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 w:cs="Arial"/>
                <w:b/>
                <w:bCs/>
                <w:sz w:val="24"/>
                <w:szCs w:val="24"/>
                <w:lang w:val="en-US"/>
              </w:rPr>
              <w:t>+</w:t>
            </w:r>
            <w:r w:rsidRPr="000A319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7,6</w:t>
            </w:r>
          </w:p>
        </w:tc>
      </w:tr>
      <w:tr w:rsidR="00A957D5" w:rsidRPr="009E179E" w:rsidTr="003515F7">
        <w:trPr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957D5" w:rsidRPr="00A957D5" w:rsidRDefault="00A957D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A957D5">
              <w:rPr>
                <w:rFonts w:ascii="Verdana" w:hAnsi="Verdana" w:cs="Arial"/>
                <w:b/>
                <w:bCs/>
                <w:color w:val="FFFFFF" w:themeColor="background1"/>
              </w:rPr>
              <w:t>2009</w:t>
            </w:r>
          </w:p>
        </w:tc>
        <w:tc>
          <w:tcPr>
            <w:tcW w:w="2700" w:type="dxa"/>
          </w:tcPr>
          <w:p w:rsidR="00A957D5" w:rsidRPr="000A3198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-3,5</w:t>
            </w:r>
          </w:p>
        </w:tc>
        <w:tc>
          <w:tcPr>
            <w:tcW w:w="2551" w:type="dxa"/>
          </w:tcPr>
          <w:p w:rsidR="00A957D5" w:rsidRPr="000A3198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+8,7</w:t>
            </w:r>
          </w:p>
        </w:tc>
        <w:tc>
          <w:tcPr>
            <w:tcW w:w="2935" w:type="dxa"/>
          </w:tcPr>
          <w:p w:rsidR="00A957D5" w:rsidRPr="000A3198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+5,6</w:t>
            </w:r>
          </w:p>
        </w:tc>
      </w:tr>
      <w:tr w:rsidR="00A957D5" w:rsidRPr="009E179E" w:rsidTr="003515F7">
        <w:trPr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957D5" w:rsidRPr="00A957D5" w:rsidRDefault="00A957D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</w:rPr>
            </w:pPr>
            <w:r w:rsidRPr="00A957D5">
              <w:rPr>
                <w:rFonts w:ascii="Verdana" w:hAnsi="Verdana" w:cs="Arial"/>
                <w:b/>
                <w:bCs/>
                <w:color w:val="FFFFFF" w:themeColor="background1"/>
              </w:rPr>
              <w:t>2010</w:t>
            </w:r>
          </w:p>
        </w:tc>
        <w:tc>
          <w:tcPr>
            <w:tcW w:w="2700" w:type="dxa"/>
          </w:tcPr>
          <w:p w:rsidR="00A957D5" w:rsidRPr="000A3198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-6,2</w:t>
            </w:r>
          </w:p>
        </w:tc>
        <w:tc>
          <w:tcPr>
            <w:tcW w:w="2551" w:type="dxa"/>
          </w:tcPr>
          <w:p w:rsidR="00A957D5" w:rsidRPr="000A3198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-0,9</w:t>
            </w:r>
          </w:p>
        </w:tc>
        <w:tc>
          <w:tcPr>
            <w:tcW w:w="2935" w:type="dxa"/>
          </w:tcPr>
          <w:p w:rsidR="00A957D5" w:rsidRPr="000A3198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+1,8</w:t>
            </w:r>
          </w:p>
        </w:tc>
      </w:tr>
      <w:tr w:rsidR="00A957D5" w:rsidRPr="009E179E" w:rsidTr="003515F7">
        <w:trPr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957D5" w:rsidRPr="002D7D4D" w:rsidRDefault="00A957D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</w:pPr>
            <w:r w:rsidRPr="002D7D4D"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  <w:t>2011</w:t>
            </w:r>
          </w:p>
        </w:tc>
        <w:tc>
          <w:tcPr>
            <w:tcW w:w="2700" w:type="dxa"/>
          </w:tcPr>
          <w:p w:rsidR="00A957D5" w:rsidRPr="000A3198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-3,4</w:t>
            </w:r>
          </w:p>
        </w:tc>
        <w:tc>
          <w:tcPr>
            <w:tcW w:w="2551" w:type="dxa"/>
          </w:tcPr>
          <w:p w:rsidR="00A957D5" w:rsidRPr="000A3198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+8,9</w:t>
            </w:r>
          </w:p>
        </w:tc>
        <w:tc>
          <w:tcPr>
            <w:tcW w:w="2935" w:type="dxa"/>
          </w:tcPr>
          <w:p w:rsidR="00A957D5" w:rsidRPr="000A3198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+4,1</w:t>
            </w:r>
          </w:p>
        </w:tc>
      </w:tr>
      <w:tr w:rsidR="00A957D5" w:rsidRPr="009E179E" w:rsidTr="003515F7">
        <w:trPr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957D5" w:rsidRPr="002D7D4D" w:rsidRDefault="00A957D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</w:pPr>
            <w:r w:rsidRPr="002D7D4D"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  <w:t>2012</w:t>
            </w:r>
          </w:p>
        </w:tc>
        <w:tc>
          <w:tcPr>
            <w:tcW w:w="2700" w:type="dxa"/>
          </w:tcPr>
          <w:p w:rsidR="00A957D5" w:rsidRPr="000A3198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-1,9</w:t>
            </w:r>
          </w:p>
        </w:tc>
        <w:tc>
          <w:tcPr>
            <w:tcW w:w="2551" w:type="dxa"/>
          </w:tcPr>
          <w:p w:rsidR="00A957D5" w:rsidRPr="000A3198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+4,7</w:t>
            </w:r>
          </w:p>
        </w:tc>
        <w:tc>
          <w:tcPr>
            <w:tcW w:w="2935" w:type="dxa"/>
          </w:tcPr>
          <w:p w:rsidR="00A957D5" w:rsidRPr="000A3198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+5,9</w:t>
            </w:r>
          </w:p>
        </w:tc>
      </w:tr>
      <w:tr w:rsidR="00A957D5" w:rsidRPr="009E179E" w:rsidTr="003515F7">
        <w:trPr>
          <w:trHeight w:val="267"/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957D5" w:rsidRPr="002D7D4D" w:rsidRDefault="00A957D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</w:pPr>
            <w:r w:rsidRPr="002D7D4D"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  <w:t>2013</w:t>
            </w:r>
          </w:p>
        </w:tc>
        <w:tc>
          <w:tcPr>
            <w:tcW w:w="2700" w:type="dxa"/>
          </w:tcPr>
          <w:p w:rsidR="00A957D5" w:rsidRPr="000A3198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-0,11</w:t>
            </w:r>
          </w:p>
        </w:tc>
        <w:tc>
          <w:tcPr>
            <w:tcW w:w="2551" w:type="dxa"/>
          </w:tcPr>
          <w:p w:rsidR="00A957D5" w:rsidRPr="000A3198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+2,99</w:t>
            </w:r>
          </w:p>
        </w:tc>
        <w:tc>
          <w:tcPr>
            <w:tcW w:w="2935" w:type="dxa"/>
          </w:tcPr>
          <w:p w:rsidR="00A957D5" w:rsidRPr="000A3198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0A3198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+3,53</w:t>
            </w:r>
          </w:p>
        </w:tc>
      </w:tr>
      <w:tr w:rsidR="00A957D5" w:rsidRPr="009E179E" w:rsidTr="003515F7">
        <w:trPr>
          <w:trHeight w:val="267"/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A957D5" w:rsidRPr="002D7D4D" w:rsidRDefault="00A957D5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</w:pPr>
            <w:r w:rsidRPr="002D7D4D"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  <w:t>2014</w:t>
            </w:r>
          </w:p>
        </w:tc>
        <w:tc>
          <w:tcPr>
            <w:tcW w:w="2700" w:type="dxa"/>
          </w:tcPr>
          <w:p w:rsidR="00A957D5" w:rsidRPr="00873B44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873B44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-2,14</w:t>
            </w:r>
          </w:p>
        </w:tc>
        <w:tc>
          <w:tcPr>
            <w:tcW w:w="2551" w:type="dxa"/>
          </w:tcPr>
          <w:p w:rsidR="00A957D5" w:rsidRPr="00873B44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873B44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+2,73</w:t>
            </w:r>
          </w:p>
        </w:tc>
        <w:tc>
          <w:tcPr>
            <w:tcW w:w="2935" w:type="dxa"/>
          </w:tcPr>
          <w:p w:rsidR="00A957D5" w:rsidRPr="00873B44" w:rsidRDefault="00A957D5" w:rsidP="003515F7">
            <w:pPr>
              <w:jc w:val="center"/>
              <w:rPr>
                <w:rFonts w:ascii="Verdana" w:hAnsi="Verdana" w:cs="Arial"/>
                <w:bCs/>
                <w:sz w:val="24"/>
                <w:szCs w:val="24"/>
                <w:lang w:val="en-US"/>
              </w:rPr>
            </w:pPr>
            <w:r w:rsidRPr="00873B44">
              <w:rPr>
                <w:rFonts w:ascii="Verdana" w:hAnsi="Verdana" w:cs="Arial"/>
                <w:bCs/>
                <w:sz w:val="24"/>
                <w:szCs w:val="24"/>
                <w:lang w:val="en-US"/>
              </w:rPr>
              <w:t>+9,41</w:t>
            </w:r>
          </w:p>
        </w:tc>
      </w:tr>
      <w:tr w:rsidR="009E179E" w:rsidRPr="009E179E" w:rsidTr="00DC7FF8">
        <w:trPr>
          <w:trHeight w:val="267"/>
          <w:jc w:val="center"/>
        </w:trPr>
        <w:tc>
          <w:tcPr>
            <w:tcW w:w="2160" w:type="dxa"/>
            <w:shd w:val="clear" w:color="auto" w:fill="89AAD3"/>
            <w:vAlign w:val="center"/>
          </w:tcPr>
          <w:p w:rsidR="009E179E" w:rsidRPr="002D7D4D" w:rsidRDefault="009E179E" w:rsidP="002D7D4D">
            <w:pPr>
              <w:pStyle w:val="Ttulo9"/>
              <w:spacing w:line="276" w:lineRule="auto"/>
              <w:ind w:firstLine="0"/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</w:pPr>
            <w:r w:rsidRPr="002D7D4D">
              <w:rPr>
                <w:rFonts w:ascii="Verdana" w:hAnsi="Verdana" w:cs="Arial"/>
                <w:b/>
                <w:bCs/>
                <w:color w:val="FFFFFF" w:themeColor="background1"/>
                <w:lang w:val="en-US"/>
              </w:rPr>
              <w:t>2015</w:t>
            </w:r>
          </w:p>
        </w:tc>
        <w:tc>
          <w:tcPr>
            <w:tcW w:w="2700" w:type="dxa"/>
            <w:vAlign w:val="center"/>
          </w:tcPr>
          <w:p w:rsidR="009E179E" w:rsidRPr="00F6236C" w:rsidRDefault="00935EAF" w:rsidP="003260EE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-6,</w:t>
            </w:r>
            <w:r w:rsidR="003260EE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7</w:t>
            </w:r>
            <w:r w:rsidR="00BF02C8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  <w:vAlign w:val="center"/>
          </w:tcPr>
          <w:p w:rsidR="009E179E" w:rsidRPr="00F6236C" w:rsidRDefault="00935EAF" w:rsidP="00BF02C8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-4,</w:t>
            </w:r>
            <w:r w:rsidR="00BF02C8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2935" w:type="dxa"/>
            <w:vAlign w:val="center"/>
          </w:tcPr>
          <w:p w:rsidR="009E179E" w:rsidRPr="00F6236C" w:rsidRDefault="00935EAF" w:rsidP="00D46514">
            <w:pPr>
              <w:spacing w:line="276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-1,0</w:t>
            </w:r>
            <w:r w:rsidR="00BF02C8"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</w:tr>
    </w:tbl>
    <w:p w:rsidR="007214D4" w:rsidRDefault="007214D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  <w:r w:rsidRPr="0019706F">
        <w:rPr>
          <w:rFonts w:ascii="Verdana" w:hAnsi="Verdana" w:cs="Verdana"/>
          <w:b/>
          <w:bCs/>
          <w:sz w:val="20"/>
          <w:szCs w:val="20"/>
        </w:rPr>
        <w:t>Fonte: CDL/BH – Pesquisa &amp; Mercado – Setor: Pesquisa e Desenvolvimento</w:t>
      </w:r>
      <w:r w:rsidRPr="0019706F">
        <w:rPr>
          <w:rFonts w:ascii="Verdana" w:hAnsi="Verdana" w:cs="Verdana"/>
          <w:sz w:val="20"/>
          <w:szCs w:val="20"/>
        </w:rPr>
        <w:t>.</w:t>
      </w:r>
    </w:p>
    <w:p w:rsidR="009E0BBB" w:rsidRDefault="009E0BBB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B85664" w:rsidRDefault="00B8566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B85664" w:rsidRDefault="00B8566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B85664" w:rsidRDefault="00B8566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B85664" w:rsidRDefault="00B8566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B85664" w:rsidRDefault="00B8566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B85664" w:rsidRDefault="00B8566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p w:rsidR="00B85664" w:rsidRPr="0019706F" w:rsidRDefault="00B85664" w:rsidP="007214D4">
      <w:pPr>
        <w:pStyle w:val="BNDES"/>
        <w:autoSpaceDE w:val="0"/>
        <w:autoSpaceDN w:val="0"/>
        <w:adjustRightInd w:val="0"/>
        <w:ind w:firstLine="708"/>
        <w:rPr>
          <w:rFonts w:ascii="Verdana" w:hAnsi="Verdana" w:cs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2D7D4D" w:rsidRPr="002D7D4D" w:rsidTr="002D7D4D">
        <w:tc>
          <w:tcPr>
            <w:tcW w:w="10345" w:type="dxa"/>
            <w:shd w:val="clear" w:color="auto" w:fill="4F81BD"/>
            <w:vAlign w:val="center"/>
          </w:tcPr>
          <w:p w:rsidR="00C75FCC" w:rsidRPr="002D7D4D" w:rsidRDefault="002D7D4D" w:rsidP="009E179E">
            <w:pPr>
              <w:spacing w:before="120" w:after="120"/>
              <w:jc w:val="center"/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</w:pPr>
            <w:r w:rsidRPr="002D7D4D">
              <w:rPr>
                <w:rFonts w:ascii="Verdana" w:hAnsi="Verdana" w:cs="Verdana"/>
                <w:b/>
                <w:bCs/>
                <w:color w:val="FFFFFF" w:themeColor="background1"/>
                <w:sz w:val="28"/>
                <w:szCs w:val="28"/>
              </w:rPr>
              <w:t>ANÁLISE DE CONJUNTURA</w:t>
            </w:r>
          </w:p>
        </w:tc>
      </w:tr>
      <w:tr w:rsidR="002D7D4D" w:rsidRPr="002D7D4D" w:rsidTr="002D7D4D">
        <w:tc>
          <w:tcPr>
            <w:tcW w:w="10345" w:type="dxa"/>
            <w:shd w:val="clear" w:color="auto" w:fill="auto"/>
            <w:vAlign w:val="center"/>
          </w:tcPr>
          <w:p w:rsidR="002D7D4D" w:rsidRPr="00F340BD" w:rsidRDefault="00F340BD" w:rsidP="002D7D4D">
            <w:pPr>
              <w:autoSpaceDE w:val="0"/>
              <w:autoSpaceDN w:val="0"/>
              <w:adjustRightInd w:val="0"/>
              <w:spacing w:before="120" w:after="120" w:line="360" w:lineRule="auto"/>
              <w:ind w:firstLine="709"/>
              <w:jc w:val="both"/>
              <w:rPr>
                <w:rFonts w:ascii="Verdana" w:hAnsi="Verdana" w:cs="Verdana"/>
                <w:sz w:val="24"/>
                <w:szCs w:val="24"/>
              </w:rPr>
            </w:pPr>
            <w:r w:rsidRPr="00F340BD">
              <w:rPr>
                <w:rFonts w:ascii="Verdana" w:hAnsi="Verdana" w:cs="Verdana"/>
                <w:sz w:val="24"/>
                <w:szCs w:val="24"/>
              </w:rPr>
              <w:t>As expectativas para a economia brasileira no ano de 2015 tem se deteriorado rapidamente. Dados de inflação, PIB, desemprego e juros tem apresentado um cenário possivelmente adverso para o comércio.</w:t>
            </w:r>
          </w:p>
          <w:p w:rsidR="00F340BD" w:rsidRPr="00F340BD" w:rsidRDefault="0078011C" w:rsidP="0078011C">
            <w:pPr>
              <w:autoSpaceDE w:val="0"/>
              <w:autoSpaceDN w:val="0"/>
              <w:adjustRightInd w:val="0"/>
              <w:spacing w:before="120" w:after="120" w:line="360" w:lineRule="auto"/>
              <w:ind w:firstLine="709"/>
              <w:jc w:val="both"/>
              <w:rPr>
                <w:rFonts w:ascii="Verdana" w:hAnsi="Verdana"/>
                <w:sz w:val="24"/>
                <w:szCs w:val="22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D</w:t>
            </w:r>
            <w:r w:rsidRPr="0078011C">
              <w:rPr>
                <w:rFonts w:ascii="Verdana" w:hAnsi="Verdana" w:cs="Verdana"/>
                <w:sz w:val="24"/>
                <w:szCs w:val="24"/>
              </w:rPr>
              <w:t>ados referentes à atividade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78011C">
              <w:rPr>
                <w:rFonts w:ascii="Verdana" w:hAnsi="Verdana" w:cs="Verdana"/>
                <w:sz w:val="24"/>
                <w:szCs w:val="24"/>
              </w:rPr>
              <w:t>econômica continuam apontando um quadro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78011C">
              <w:rPr>
                <w:rFonts w:ascii="Verdana" w:hAnsi="Verdana" w:cs="Verdana"/>
                <w:sz w:val="24"/>
                <w:szCs w:val="24"/>
              </w:rPr>
              <w:t>recessivo esse ano. A indústria, após contração de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78011C">
              <w:rPr>
                <w:rFonts w:ascii="Verdana" w:hAnsi="Verdana" w:cs="Verdana"/>
                <w:sz w:val="24"/>
                <w:szCs w:val="24"/>
              </w:rPr>
              <w:t>3,2% em 2014, segue sem sinais de recuperação. A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78011C">
              <w:rPr>
                <w:rFonts w:ascii="Verdana" w:hAnsi="Verdana" w:cs="Verdana"/>
                <w:sz w:val="24"/>
                <w:szCs w:val="24"/>
              </w:rPr>
              <w:t>confiança de empresários e consumidores continua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78011C">
              <w:rPr>
                <w:rFonts w:ascii="Verdana" w:hAnsi="Verdana" w:cs="Verdana"/>
                <w:sz w:val="24"/>
                <w:szCs w:val="24"/>
              </w:rPr>
              <w:t xml:space="preserve">em queda. </w:t>
            </w:r>
            <w:r>
              <w:rPr>
                <w:rFonts w:ascii="Verdana" w:hAnsi="Verdana" w:cs="Verdana"/>
                <w:sz w:val="24"/>
                <w:szCs w:val="24"/>
              </w:rPr>
              <w:t>A projeção</w:t>
            </w:r>
            <w:r w:rsidRPr="0078011C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é de </w:t>
            </w:r>
            <w:r w:rsidRPr="0078011C">
              <w:rPr>
                <w:rFonts w:ascii="Verdana" w:hAnsi="Verdana" w:cs="Verdana"/>
                <w:sz w:val="24"/>
                <w:szCs w:val="24"/>
              </w:rPr>
              <w:t>alta de 8</w:t>
            </w:r>
            <w:r w:rsidR="00B80D2C">
              <w:rPr>
                <w:rFonts w:ascii="Verdana" w:hAnsi="Verdana" w:cs="Verdana"/>
                <w:sz w:val="24"/>
                <w:szCs w:val="24"/>
              </w:rPr>
              <w:t>,13</w:t>
            </w:r>
            <w:r w:rsidRPr="0078011C">
              <w:rPr>
                <w:rFonts w:ascii="Verdana" w:hAnsi="Verdana" w:cs="Verdana"/>
                <w:sz w:val="24"/>
                <w:szCs w:val="24"/>
              </w:rPr>
              <w:t xml:space="preserve">% para o IPCA em 2015. </w:t>
            </w:r>
            <w:r>
              <w:rPr>
                <w:rFonts w:ascii="Verdana" w:hAnsi="Verdana" w:cs="Verdana"/>
                <w:sz w:val="24"/>
                <w:szCs w:val="24"/>
              </w:rPr>
              <w:t>Neste sentido</w:t>
            </w:r>
            <w:r w:rsidRPr="0078011C">
              <w:rPr>
                <w:rFonts w:ascii="Verdana" w:hAnsi="Verdana" w:cs="Verdana"/>
                <w:sz w:val="24"/>
                <w:szCs w:val="24"/>
              </w:rPr>
              <w:t>, será difícil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78011C">
              <w:rPr>
                <w:rFonts w:ascii="Verdana" w:hAnsi="Verdana" w:cs="Verdana"/>
                <w:sz w:val="24"/>
                <w:szCs w:val="24"/>
              </w:rPr>
              <w:t>para o Banco Central interromper o ciclo de alta e,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78011C">
              <w:rPr>
                <w:rFonts w:ascii="Verdana" w:hAnsi="Verdana" w:cs="Verdana"/>
                <w:sz w:val="24"/>
                <w:szCs w:val="24"/>
              </w:rPr>
              <w:t xml:space="preserve">portanto, 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é possível que </w:t>
            </w:r>
            <w:r w:rsidRPr="0078011C">
              <w:rPr>
                <w:rFonts w:ascii="Verdana" w:hAnsi="Verdana" w:cs="Verdana"/>
                <w:sz w:val="24"/>
                <w:szCs w:val="24"/>
              </w:rPr>
              <w:t>encerre em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Pr="0078011C">
              <w:rPr>
                <w:rFonts w:ascii="Verdana" w:hAnsi="Verdana" w:cs="Verdana"/>
                <w:sz w:val="24"/>
                <w:szCs w:val="24"/>
              </w:rPr>
              <w:t>13</w:t>
            </w:r>
            <w:r w:rsidR="00B80D2C">
              <w:rPr>
                <w:rFonts w:ascii="Verdana" w:hAnsi="Verdana" w:cs="Verdana"/>
                <w:sz w:val="24"/>
                <w:szCs w:val="24"/>
              </w:rPr>
              <w:t>,25</w:t>
            </w:r>
            <w:r w:rsidRPr="0078011C">
              <w:rPr>
                <w:rFonts w:ascii="Verdana" w:hAnsi="Verdana" w:cs="Verdana"/>
                <w:sz w:val="24"/>
                <w:szCs w:val="24"/>
              </w:rPr>
              <w:t>%.</w:t>
            </w:r>
            <w:r w:rsidR="00B80D2C"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r w:rsidR="00F340BD" w:rsidRPr="00F340BD">
              <w:rPr>
                <w:rFonts w:ascii="Verdana" w:hAnsi="Verdana"/>
                <w:sz w:val="24"/>
                <w:szCs w:val="22"/>
              </w:rPr>
              <w:t>Com a alta nos juros, os empréstimos para pessoas físicas (consumo) e jurídicas (investimento) ficam mais caros, desestimulando o consumo interno e o investimento no país.</w:t>
            </w:r>
          </w:p>
          <w:p w:rsidR="002D7D4D" w:rsidRPr="002D7D4D" w:rsidRDefault="002D7D4D" w:rsidP="0078011C">
            <w:pPr>
              <w:autoSpaceDE w:val="0"/>
              <w:autoSpaceDN w:val="0"/>
              <w:adjustRightInd w:val="0"/>
              <w:spacing w:before="120" w:line="360" w:lineRule="auto"/>
              <w:ind w:firstLine="709"/>
              <w:jc w:val="both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</w:tbl>
    <w:p w:rsidR="00A93A6D" w:rsidRDefault="00A93A6D" w:rsidP="009F1EF6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Verdana" w:hAnsi="Verdana" w:cs="Verdana"/>
          <w:color w:val="FF0000"/>
          <w:sz w:val="24"/>
          <w:szCs w:val="24"/>
        </w:rPr>
      </w:pPr>
    </w:p>
    <w:tbl>
      <w:tblPr>
        <w:tblW w:w="0" w:type="auto"/>
        <w:jc w:val="center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8"/>
        <w:gridCol w:w="586"/>
        <w:gridCol w:w="600"/>
        <w:gridCol w:w="600"/>
        <w:gridCol w:w="600"/>
        <w:gridCol w:w="600"/>
        <w:gridCol w:w="600"/>
        <w:gridCol w:w="600"/>
        <w:gridCol w:w="600"/>
        <w:gridCol w:w="600"/>
        <w:gridCol w:w="648"/>
        <w:gridCol w:w="672"/>
        <w:gridCol w:w="720"/>
        <w:gridCol w:w="720"/>
        <w:gridCol w:w="880"/>
      </w:tblGrid>
      <w:tr w:rsidR="00D56161" w:rsidRPr="00861F4D" w:rsidTr="00F6236C">
        <w:trPr>
          <w:jc w:val="center"/>
        </w:trPr>
        <w:tc>
          <w:tcPr>
            <w:tcW w:w="10284" w:type="dxa"/>
            <w:gridSpan w:val="15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D9660A" w:rsidRPr="00861F4D" w:rsidRDefault="00AD5144" w:rsidP="00AA54D7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lastRenderedPageBreak/>
              <w:t>S</w:t>
            </w:r>
            <w:r w:rsidR="00D9660A" w:rsidRPr="00861F4D">
              <w:rPr>
                <w:rFonts w:ascii="Verdana" w:hAnsi="Verdana" w:cs="Verdana"/>
                <w:b/>
                <w:bCs/>
                <w:sz w:val="28"/>
                <w:szCs w:val="28"/>
              </w:rPr>
              <w:t>íntese Estatística</w:t>
            </w:r>
          </w:p>
        </w:tc>
      </w:tr>
      <w:tr w:rsidR="00D56161" w:rsidRPr="00861F4D" w:rsidTr="002D7D4D">
        <w:trPr>
          <w:jc w:val="center"/>
        </w:trPr>
        <w:tc>
          <w:tcPr>
            <w:tcW w:w="10284" w:type="dxa"/>
            <w:gridSpan w:val="15"/>
            <w:shd w:val="clear" w:color="auto" w:fill="89AAD3"/>
            <w:vAlign w:val="center"/>
          </w:tcPr>
          <w:p w:rsidR="00D9660A" w:rsidRPr="00861F4D" w:rsidRDefault="00D9660A" w:rsidP="009E179E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861F4D">
              <w:rPr>
                <w:rFonts w:ascii="Verdana" w:hAnsi="Verdana" w:cs="Verdana"/>
                <w:b/>
                <w:bCs/>
              </w:rPr>
              <w:t>Indicadores Econômicos – 201</w:t>
            </w:r>
            <w:r w:rsidR="009E179E" w:rsidRPr="00861F4D">
              <w:rPr>
                <w:rFonts w:ascii="Verdana" w:hAnsi="Verdana" w:cs="Verdana"/>
                <w:b/>
                <w:bCs/>
              </w:rPr>
              <w:t>4</w:t>
            </w:r>
            <w:r w:rsidRPr="00861F4D">
              <w:rPr>
                <w:rFonts w:ascii="Verdana" w:hAnsi="Verdana" w:cs="Verdana"/>
                <w:b/>
                <w:bCs/>
              </w:rPr>
              <w:t xml:space="preserve"> (% ao mês)</w:t>
            </w:r>
          </w:p>
        </w:tc>
      </w:tr>
      <w:tr w:rsidR="00D56161" w:rsidRPr="00861F4D" w:rsidTr="002D7D4D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Jan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Fev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Mar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Abr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Mai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Jun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Jul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Ago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Set</w:t>
            </w:r>
          </w:p>
        </w:tc>
        <w:tc>
          <w:tcPr>
            <w:tcW w:w="648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Out</w:t>
            </w:r>
          </w:p>
        </w:tc>
        <w:tc>
          <w:tcPr>
            <w:tcW w:w="672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Nov</w:t>
            </w:r>
          </w:p>
        </w:tc>
        <w:tc>
          <w:tcPr>
            <w:tcW w:w="72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Dez</w:t>
            </w:r>
          </w:p>
        </w:tc>
        <w:tc>
          <w:tcPr>
            <w:tcW w:w="72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Acum. Ano</w:t>
            </w:r>
          </w:p>
        </w:tc>
        <w:tc>
          <w:tcPr>
            <w:tcW w:w="88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Últ. 12 meses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TJLP (BACEN)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eastAsia="Arial Unicode MS" w:hAnsi="Verdana"/>
                <w:sz w:val="16"/>
              </w:rPr>
            </w:pPr>
            <w:r w:rsidRPr="00861F4D">
              <w:rPr>
                <w:rFonts w:ascii="Verdana" w:eastAsia="Arial Unicode MS" w:hAnsi="Verdana"/>
                <w:sz w:val="16"/>
              </w:rPr>
              <w:t>0,41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eastAsia="Arial Unicode MS" w:hAnsi="Verdana"/>
                <w:sz w:val="16"/>
              </w:rPr>
            </w:pPr>
            <w:r w:rsidRPr="00861F4D">
              <w:rPr>
                <w:rFonts w:ascii="Verdana" w:eastAsia="Arial Unicode MS" w:hAnsi="Verdana"/>
                <w:sz w:val="16"/>
              </w:rPr>
              <w:t>0,41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UFIR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2,55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2,55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INPC (IBGE)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0,82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0,78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0,60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0,26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0,13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0,18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0,49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0,38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0,53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0,62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6,23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6,23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IPCA (IBGE)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0,69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0,92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0,67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0,46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0,40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0,57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0,42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0,51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0,78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6,41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6,41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IGP-M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0,38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0,78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-0,13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-0,74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-0,61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-0,27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0,20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0,28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0,98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0,62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3,67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3,67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IGP-DI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0,85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1,48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0,45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-0,45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-0,63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0,06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0,02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0,59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1,14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0,38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3,78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3,78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INCC-DI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0,88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0,33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0,88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2,05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0,66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0,08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0,15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0,17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0,44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0,08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6,94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6,94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61F4D">
              <w:rPr>
                <w:rFonts w:ascii="Verdana" w:hAnsi="Verdana" w:cs="Verdana"/>
                <w:sz w:val="14"/>
                <w:szCs w:val="14"/>
              </w:rPr>
              <w:t>CUB (Sindusc)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0,15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1,71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2,77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0,59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0,47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0,01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0,12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0,02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0,03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6,37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6,37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IPA</w:t>
            </w:r>
            <w:r w:rsidRPr="00861F4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- </w:t>
            </w:r>
            <w:r w:rsidRPr="00861F4D">
              <w:rPr>
                <w:rFonts w:ascii="Verdana" w:hAnsi="Verdana" w:cs="Verdana"/>
                <w:sz w:val="16"/>
                <w:szCs w:val="16"/>
              </w:rPr>
              <w:t>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0,12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1,00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1,91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0,27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-1,21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-1,21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-1,01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0,04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-0,18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0,73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1,44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0,30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2,17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2,17</w:t>
            </w:r>
          </w:p>
        </w:tc>
      </w:tr>
      <w:tr w:rsidR="009E179E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center"/>
          </w:tcPr>
          <w:p w:rsidR="009E179E" w:rsidRPr="00861F4D" w:rsidRDefault="009E179E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Poupança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0,55</w:t>
            </w:r>
          </w:p>
        </w:tc>
        <w:tc>
          <w:tcPr>
            <w:tcW w:w="600" w:type="dxa"/>
            <w:shd w:val="clear" w:color="auto" w:fill="FFFFFF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0,56</w:t>
            </w:r>
          </w:p>
        </w:tc>
        <w:tc>
          <w:tcPr>
            <w:tcW w:w="600" w:type="dxa"/>
            <w:shd w:val="clear" w:color="auto" w:fill="FFFFFF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0,55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0,61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0,56</w:t>
            </w:r>
          </w:p>
        </w:tc>
        <w:tc>
          <w:tcPr>
            <w:tcW w:w="60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0,59</w:t>
            </w:r>
          </w:p>
        </w:tc>
        <w:tc>
          <w:tcPr>
            <w:tcW w:w="648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0,60</w:t>
            </w:r>
          </w:p>
        </w:tc>
        <w:tc>
          <w:tcPr>
            <w:tcW w:w="672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0,55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61F4D">
              <w:rPr>
                <w:rFonts w:ascii="Verdana" w:hAnsi="Verdana"/>
                <w:sz w:val="16"/>
                <w:szCs w:val="16"/>
              </w:rPr>
              <w:t>0,61</w:t>
            </w:r>
          </w:p>
        </w:tc>
        <w:tc>
          <w:tcPr>
            <w:tcW w:w="72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7,08</w:t>
            </w:r>
          </w:p>
        </w:tc>
        <w:tc>
          <w:tcPr>
            <w:tcW w:w="880" w:type="dxa"/>
            <w:vAlign w:val="bottom"/>
          </w:tcPr>
          <w:p w:rsidR="009E179E" w:rsidRPr="00861F4D" w:rsidRDefault="009E179E" w:rsidP="009E179E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7,08</w:t>
            </w:r>
          </w:p>
        </w:tc>
      </w:tr>
      <w:tr w:rsidR="004A5B54" w:rsidRPr="00861F4D" w:rsidTr="00F6236C">
        <w:trPr>
          <w:cantSplit/>
          <w:jc w:val="center"/>
        </w:trPr>
        <w:tc>
          <w:tcPr>
            <w:tcW w:w="10284" w:type="dxa"/>
            <w:gridSpan w:val="15"/>
            <w:shd w:val="clear" w:color="auto" w:fill="89AAD3"/>
            <w:vAlign w:val="center"/>
          </w:tcPr>
          <w:p w:rsidR="00D9660A" w:rsidRPr="00861F4D" w:rsidRDefault="009E179E" w:rsidP="00AA54D7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861F4D">
              <w:rPr>
                <w:rFonts w:ascii="Verdana" w:hAnsi="Verdana" w:cs="Verdana"/>
                <w:b/>
                <w:bCs/>
              </w:rPr>
              <w:t>Indicadores Econômicos - 2015</w:t>
            </w:r>
            <w:r w:rsidR="00D9660A" w:rsidRPr="00861F4D">
              <w:rPr>
                <w:rFonts w:ascii="Verdana" w:hAnsi="Verdana" w:cs="Verdana"/>
                <w:b/>
                <w:bCs/>
              </w:rPr>
              <w:t xml:space="preserve"> (% ao mês)</w:t>
            </w:r>
          </w:p>
        </w:tc>
      </w:tr>
      <w:tr w:rsidR="004A5B54" w:rsidRPr="00861F4D" w:rsidTr="00F6236C">
        <w:trPr>
          <w:trHeight w:val="496"/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586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Jan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Fev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Mar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Abr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Mai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Jun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Jul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Ago</w:t>
            </w:r>
          </w:p>
        </w:tc>
        <w:tc>
          <w:tcPr>
            <w:tcW w:w="60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Set</w:t>
            </w:r>
          </w:p>
        </w:tc>
        <w:tc>
          <w:tcPr>
            <w:tcW w:w="648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Out</w:t>
            </w:r>
          </w:p>
        </w:tc>
        <w:tc>
          <w:tcPr>
            <w:tcW w:w="672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Nov</w:t>
            </w:r>
          </w:p>
        </w:tc>
        <w:tc>
          <w:tcPr>
            <w:tcW w:w="72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Dez</w:t>
            </w:r>
          </w:p>
        </w:tc>
        <w:tc>
          <w:tcPr>
            <w:tcW w:w="72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Acum. Ano</w:t>
            </w:r>
          </w:p>
        </w:tc>
        <w:tc>
          <w:tcPr>
            <w:tcW w:w="880" w:type="dxa"/>
            <w:shd w:val="clear" w:color="auto" w:fill="89AAD3"/>
            <w:vAlign w:val="center"/>
          </w:tcPr>
          <w:p w:rsidR="00D9660A" w:rsidRPr="00861F4D" w:rsidRDefault="00D9660A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Últ. 12 meses</w:t>
            </w:r>
          </w:p>
        </w:tc>
      </w:tr>
      <w:tr w:rsidR="004A5B54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275C53" w:rsidRPr="00861F4D" w:rsidRDefault="00275C53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TJLP (BACEN)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75C53" w:rsidRPr="00861F4D" w:rsidRDefault="009E179E" w:rsidP="00BF02C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0,4</w:t>
            </w:r>
            <w:r w:rsidR="00BF02C8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BF02C8" w:rsidP="00BF02C8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0,45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EF43E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2A39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EE42F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275C53" w:rsidRPr="00861F4D" w:rsidRDefault="00275C53" w:rsidP="00275C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eastAsia="Arial Unicode MS" w:hAnsi="Verdana"/>
                <w:sz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eastAsia="Arial Unicode MS" w:hAnsi="Verdana"/>
                <w:sz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9E179E" w:rsidP="00AA54D7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bottom"/>
          </w:tcPr>
          <w:p w:rsidR="00275C53" w:rsidRPr="00861F4D" w:rsidRDefault="009E179E" w:rsidP="00AA54D7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</w:tr>
      <w:tr w:rsidR="004A5B54" w:rsidRPr="00861F4D" w:rsidTr="00F6236C">
        <w:trPr>
          <w:trHeight w:val="209"/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275C53" w:rsidRPr="00861F4D" w:rsidRDefault="00275C53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UFIR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75C53" w:rsidRPr="00861F4D" w:rsidRDefault="009E179E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2,55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EF43E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2A3991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EE42FC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275C53" w:rsidRPr="00861F4D" w:rsidRDefault="00275C53" w:rsidP="00275C53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9E179E" w:rsidP="00AA54D7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  <w:tc>
          <w:tcPr>
            <w:tcW w:w="880" w:type="dxa"/>
            <w:vAlign w:val="bottom"/>
          </w:tcPr>
          <w:p w:rsidR="00275C53" w:rsidRPr="00861F4D" w:rsidRDefault="009E179E" w:rsidP="00AA54D7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 w:rsidRPr="00861F4D">
              <w:rPr>
                <w:rFonts w:ascii="Verdana" w:hAnsi="Verdana" w:cs="Calibri"/>
                <w:b/>
                <w:sz w:val="16"/>
                <w:szCs w:val="16"/>
              </w:rPr>
              <w:t>-</w:t>
            </w:r>
          </w:p>
        </w:tc>
      </w:tr>
      <w:tr w:rsidR="004A5B54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275C53" w:rsidRPr="00861F4D" w:rsidRDefault="00275C53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INPC (IBGE)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75C53" w:rsidRPr="00861F4D" w:rsidRDefault="004F1494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1,48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1,16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2,66</w:t>
            </w:r>
          </w:p>
        </w:tc>
        <w:tc>
          <w:tcPr>
            <w:tcW w:w="880" w:type="dxa"/>
            <w:vAlign w:val="bottom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7,68</w:t>
            </w:r>
          </w:p>
        </w:tc>
      </w:tr>
      <w:tr w:rsidR="004A5B54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275C53" w:rsidRPr="00861F4D" w:rsidRDefault="00275C53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IPCA (IBGE)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75C53" w:rsidRPr="00861F4D" w:rsidRDefault="009E179E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1,24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1,22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BF02C8" w:rsidP="00F02DBC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2,48</w:t>
            </w:r>
          </w:p>
        </w:tc>
        <w:tc>
          <w:tcPr>
            <w:tcW w:w="880" w:type="dxa"/>
            <w:vAlign w:val="bottom"/>
          </w:tcPr>
          <w:p w:rsidR="00275C53" w:rsidRPr="00861F4D" w:rsidRDefault="00BF02C8" w:rsidP="006230E1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7,70</w:t>
            </w:r>
          </w:p>
        </w:tc>
      </w:tr>
      <w:tr w:rsidR="004A5B54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275C53" w:rsidRPr="00861F4D" w:rsidRDefault="00275C53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s-ES_tradnl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s-ES_tradnl"/>
              </w:rPr>
              <w:t>IGP-M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75C53" w:rsidRPr="00861F4D" w:rsidRDefault="004F1494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0,76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0,27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BB5C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1,03</w:t>
            </w:r>
          </w:p>
        </w:tc>
        <w:tc>
          <w:tcPr>
            <w:tcW w:w="880" w:type="dxa"/>
            <w:vAlign w:val="bottom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3,85</w:t>
            </w:r>
          </w:p>
        </w:tc>
      </w:tr>
      <w:tr w:rsidR="004A5B54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275C53" w:rsidRPr="00861F4D" w:rsidRDefault="00275C53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 w:rsidRPr="00861F4D">
              <w:rPr>
                <w:rFonts w:ascii="Verdana" w:hAnsi="Verdana" w:cs="Verdana"/>
                <w:sz w:val="16"/>
                <w:szCs w:val="16"/>
                <w:lang w:val="en-US"/>
              </w:rPr>
              <w:t>IGP-DI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75C53" w:rsidRPr="00861F4D" w:rsidRDefault="004F1494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0,67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0,53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1,20</w:t>
            </w:r>
          </w:p>
        </w:tc>
        <w:tc>
          <w:tcPr>
            <w:tcW w:w="880" w:type="dxa"/>
            <w:vAlign w:val="bottom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3,73</w:t>
            </w:r>
          </w:p>
        </w:tc>
      </w:tr>
      <w:tr w:rsidR="004A5B54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275C53" w:rsidRPr="00861F4D" w:rsidRDefault="00275C53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INCC-DI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75C53" w:rsidRPr="00861F4D" w:rsidRDefault="004F1494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0,92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0,31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BF02C8" w:rsidP="00F02DBC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1,23</w:t>
            </w:r>
          </w:p>
        </w:tc>
        <w:tc>
          <w:tcPr>
            <w:tcW w:w="880" w:type="dxa"/>
            <w:vAlign w:val="bottom"/>
          </w:tcPr>
          <w:p w:rsidR="00275C53" w:rsidRPr="00861F4D" w:rsidRDefault="00BF02C8" w:rsidP="008E5B64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6,97</w:t>
            </w:r>
          </w:p>
        </w:tc>
      </w:tr>
      <w:tr w:rsidR="004A5B54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275C53" w:rsidRPr="00861F4D" w:rsidRDefault="00275C53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4"/>
                <w:szCs w:val="14"/>
              </w:rPr>
            </w:pPr>
            <w:r w:rsidRPr="00861F4D">
              <w:rPr>
                <w:rFonts w:ascii="Verdana" w:hAnsi="Verdana" w:cs="Verdana"/>
                <w:sz w:val="14"/>
                <w:szCs w:val="14"/>
              </w:rPr>
              <w:t>CUB (Sindusc)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75C53" w:rsidRPr="00861F4D" w:rsidRDefault="004F1494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0,33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0,10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0,43</w:t>
            </w:r>
          </w:p>
        </w:tc>
        <w:tc>
          <w:tcPr>
            <w:tcW w:w="880" w:type="dxa"/>
            <w:vAlign w:val="bottom"/>
          </w:tcPr>
          <w:p w:rsidR="00275C53" w:rsidRPr="00861F4D" w:rsidRDefault="00BF02C8" w:rsidP="006230E1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6,53</w:t>
            </w:r>
          </w:p>
        </w:tc>
      </w:tr>
      <w:tr w:rsidR="004A5B54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275C53" w:rsidRPr="00861F4D" w:rsidRDefault="00275C53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IPA</w:t>
            </w:r>
            <w:r w:rsidRPr="00861F4D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- </w:t>
            </w:r>
            <w:r w:rsidRPr="00861F4D">
              <w:rPr>
                <w:rFonts w:ascii="Verdana" w:hAnsi="Verdana" w:cs="Verdana"/>
                <w:sz w:val="16"/>
                <w:szCs w:val="16"/>
              </w:rPr>
              <w:t>DI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75C53" w:rsidRPr="00861F4D" w:rsidRDefault="004F1494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0,23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0,41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BF02C8" w:rsidP="00F02DBC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0,64</w:t>
            </w:r>
          </w:p>
        </w:tc>
        <w:tc>
          <w:tcPr>
            <w:tcW w:w="880" w:type="dxa"/>
            <w:vAlign w:val="bottom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1,68</w:t>
            </w:r>
          </w:p>
        </w:tc>
      </w:tr>
      <w:tr w:rsidR="004A5B54" w:rsidRPr="00861F4D" w:rsidTr="00F6236C">
        <w:trPr>
          <w:jc w:val="center"/>
        </w:trPr>
        <w:tc>
          <w:tcPr>
            <w:tcW w:w="1258" w:type="dxa"/>
            <w:shd w:val="clear" w:color="auto" w:fill="89AAD3"/>
            <w:vAlign w:val="bottom"/>
          </w:tcPr>
          <w:p w:rsidR="00275C53" w:rsidRPr="00861F4D" w:rsidRDefault="00275C53" w:rsidP="00AA54D7">
            <w:pPr>
              <w:tabs>
                <w:tab w:val="left" w:pos="142"/>
              </w:tabs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61F4D">
              <w:rPr>
                <w:rFonts w:ascii="Verdana" w:hAnsi="Verdana" w:cs="Verdana"/>
                <w:sz w:val="16"/>
                <w:szCs w:val="16"/>
              </w:rPr>
              <w:t>Poupança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275C53" w:rsidRPr="00861F4D" w:rsidRDefault="004F1494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861F4D">
              <w:rPr>
                <w:rFonts w:ascii="Verdana" w:hAnsi="Verdana" w:cs="Calibri"/>
                <w:sz w:val="16"/>
                <w:szCs w:val="16"/>
              </w:rPr>
              <w:t>0,59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BF02C8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0,52</w:t>
            </w: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center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shd w:val="clear" w:color="auto" w:fill="FFFFFF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 w:cs="Calibri"/>
                <w:sz w:val="16"/>
                <w:szCs w:val="16"/>
              </w:rPr>
            </w:pPr>
          </w:p>
        </w:tc>
        <w:tc>
          <w:tcPr>
            <w:tcW w:w="648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72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275C53" w:rsidP="00AA54D7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0" w:type="dxa"/>
            <w:vAlign w:val="bottom"/>
          </w:tcPr>
          <w:p w:rsidR="00275C53" w:rsidRPr="00861F4D" w:rsidRDefault="00BF02C8" w:rsidP="006207F8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1,11</w:t>
            </w:r>
          </w:p>
        </w:tc>
        <w:tc>
          <w:tcPr>
            <w:tcW w:w="880" w:type="dxa"/>
            <w:vAlign w:val="bottom"/>
          </w:tcPr>
          <w:p w:rsidR="00275C53" w:rsidRPr="00861F4D" w:rsidRDefault="00BF02C8" w:rsidP="006230E1">
            <w:pPr>
              <w:jc w:val="center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7,01</w:t>
            </w:r>
          </w:p>
        </w:tc>
      </w:tr>
    </w:tbl>
    <w:p w:rsidR="00D9660A" w:rsidRPr="00861F4D" w:rsidRDefault="00D9660A" w:rsidP="00D9660A">
      <w:pPr>
        <w:rPr>
          <w:rFonts w:ascii="Verdana" w:hAnsi="Verdana" w:cs="Verdana"/>
          <w:b/>
          <w:bCs/>
        </w:rPr>
      </w:pPr>
      <w:r w:rsidRPr="00861F4D">
        <w:rPr>
          <w:rFonts w:ascii="Verdana" w:hAnsi="Verdana" w:cs="Verdana"/>
          <w:b/>
          <w:bCs/>
        </w:rPr>
        <w:t xml:space="preserve">Fonte: IPEAD/UFMG, IBGE, FGV, Sinduscon, Gazeta Mercantil, Banco Central do Brasil.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660A" w:rsidRPr="00861F4D" w:rsidRDefault="00D9660A" w:rsidP="00D9660A">
      <w:pPr>
        <w:rPr>
          <w:rFonts w:ascii="Verdana" w:hAnsi="Verdana" w:cs="Verdana"/>
          <w:b/>
          <w:bCs/>
        </w:rPr>
      </w:pPr>
    </w:p>
    <w:p w:rsidR="00D9660A" w:rsidRPr="00861F4D" w:rsidRDefault="00D9660A" w:rsidP="00D9660A">
      <w:pPr>
        <w:rPr>
          <w:rFonts w:ascii="Verdana" w:hAnsi="Verdana" w:cs="Verdana"/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3"/>
        <w:gridCol w:w="5173"/>
      </w:tblGrid>
      <w:tr w:rsidR="00D9660A" w:rsidRPr="00861F4D" w:rsidTr="00F6236C">
        <w:trPr>
          <w:trHeight w:val="318"/>
        </w:trPr>
        <w:tc>
          <w:tcPr>
            <w:tcW w:w="5033" w:type="dxa"/>
            <w:shd w:val="clear" w:color="auto" w:fill="89AAD3"/>
          </w:tcPr>
          <w:p w:rsidR="00D9660A" w:rsidRPr="00861F4D" w:rsidRDefault="00D9660A" w:rsidP="00AA54D7">
            <w:pPr>
              <w:rPr>
                <w:rFonts w:ascii="Verdana" w:hAnsi="Verdana" w:cs="Verdana"/>
                <w:b/>
                <w:sz w:val="24"/>
                <w:szCs w:val="24"/>
                <w:lang w:val="en-US"/>
              </w:rPr>
            </w:pPr>
            <w:r w:rsidRPr="00861F4D">
              <w:rPr>
                <w:rFonts w:ascii="Verdana" w:hAnsi="Verdana" w:cs="Verdana"/>
                <w:b/>
                <w:sz w:val="24"/>
                <w:szCs w:val="24"/>
                <w:lang w:val="en-US"/>
              </w:rPr>
              <w:t>SELIC</w:t>
            </w:r>
          </w:p>
        </w:tc>
        <w:tc>
          <w:tcPr>
            <w:tcW w:w="5173" w:type="dxa"/>
          </w:tcPr>
          <w:p w:rsidR="00D9660A" w:rsidRPr="00861F4D" w:rsidRDefault="0036590B" w:rsidP="00861F4D">
            <w:pPr>
              <w:jc w:val="center"/>
              <w:rPr>
                <w:rFonts w:ascii="Verdana" w:hAnsi="Verdana" w:cs="Verdana"/>
                <w:sz w:val="24"/>
                <w:szCs w:val="24"/>
                <w:lang w:val="en-US"/>
              </w:rPr>
            </w:pPr>
            <w:r w:rsidRPr="00861F4D">
              <w:rPr>
                <w:rFonts w:ascii="Verdana" w:hAnsi="Verdana" w:cs="Verdana"/>
                <w:sz w:val="24"/>
                <w:szCs w:val="24"/>
                <w:lang w:val="en-US"/>
              </w:rPr>
              <w:t>12,</w:t>
            </w:r>
            <w:r w:rsidR="00861F4D" w:rsidRPr="00861F4D">
              <w:rPr>
                <w:rFonts w:ascii="Verdana" w:hAnsi="Verdana" w:cs="Verdana"/>
                <w:sz w:val="24"/>
                <w:szCs w:val="24"/>
                <w:lang w:val="en-US"/>
              </w:rPr>
              <w:t>75</w:t>
            </w:r>
            <w:r w:rsidR="00D9660A" w:rsidRPr="00861F4D">
              <w:rPr>
                <w:rFonts w:ascii="Verdana" w:hAnsi="Verdana" w:cs="Verdana"/>
                <w:sz w:val="24"/>
                <w:szCs w:val="24"/>
                <w:lang w:val="en-US"/>
              </w:rPr>
              <w:t>% a.a.</w:t>
            </w:r>
          </w:p>
        </w:tc>
      </w:tr>
      <w:tr w:rsidR="00D9660A" w:rsidRPr="00861F4D" w:rsidTr="00F6236C">
        <w:trPr>
          <w:trHeight w:val="318"/>
        </w:trPr>
        <w:tc>
          <w:tcPr>
            <w:tcW w:w="5033" w:type="dxa"/>
            <w:shd w:val="clear" w:color="auto" w:fill="89AAD3"/>
          </w:tcPr>
          <w:p w:rsidR="00D9660A" w:rsidRPr="00861F4D" w:rsidRDefault="00D9660A" w:rsidP="00AA54D7">
            <w:pPr>
              <w:rPr>
                <w:rFonts w:ascii="Verdana" w:hAnsi="Verdana" w:cs="Verdana"/>
                <w:b/>
                <w:sz w:val="24"/>
                <w:szCs w:val="24"/>
                <w:lang w:val="en-US"/>
              </w:rPr>
            </w:pPr>
            <w:r w:rsidRPr="00861F4D">
              <w:rPr>
                <w:rFonts w:ascii="Verdana" w:hAnsi="Verdana" w:cs="Verdana"/>
                <w:b/>
                <w:sz w:val="24"/>
                <w:szCs w:val="24"/>
                <w:lang w:val="en-US"/>
              </w:rPr>
              <w:t>TJLP</w:t>
            </w:r>
          </w:p>
        </w:tc>
        <w:tc>
          <w:tcPr>
            <w:tcW w:w="5173" w:type="dxa"/>
          </w:tcPr>
          <w:p w:rsidR="00D9660A" w:rsidRPr="00861F4D" w:rsidRDefault="00D9660A" w:rsidP="00AA54D7">
            <w:pPr>
              <w:jc w:val="center"/>
              <w:rPr>
                <w:rFonts w:ascii="Verdana" w:hAnsi="Verdana" w:cs="Verdana"/>
                <w:sz w:val="24"/>
                <w:szCs w:val="24"/>
                <w:lang w:val="en-US"/>
              </w:rPr>
            </w:pPr>
            <w:r w:rsidRPr="00861F4D">
              <w:rPr>
                <w:rFonts w:ascii="Verdana" w:hAnsi="Verdana" w:cs="Verdana"/>
                <w:sz w:val="24"/>
                <w:szCs w:val="24"/>
                <w:lang w:val="en-US"/>
              </w:rPr>
              <w:t>5,5% a.a.</w:t>
            </w:r>
          </w:p>
        </w:tc>
      </w:tr>
      <w:tr w:rsidR="00D9660A" w:rsidRPr="00861F4D" w:rsidTr="00F6236C">
        <w:trPr>
          <w:trHeight w:val="318"/>
        </w:trPr>
        <w:tc>
          <w:tcPr>
            <w:tcW w:w="5033" w:type="dxa"/>
            <w:shd w:val="clear" w:color="auto" w:fill="89AAD3"/>
          </w:tcPr>
          <w:p w:rsidR="00D9660A" w:rsidRPr="00861F4D" w:rsidRDefault="00D9660A" w:rsidP="00AA54D7">
            <w:pPr>
              <w:rPr>
                <w:rFonts w:ascii="Verdana" w:hAnsi="Verdana" w:cs="Verdana"/>
                <w:b/>
                <w:sz w:val="24"/>
                <w:szCs w:val="24"/>
              </w:rPr>
            </w:pPr>
            <w:r w:rsidRPr="00861F4D">
              <w:rPr>
                <w:rFonts w:ascii="Verdana" w:hAnsi="Verdana" w:cs="Verdana"/>
                <w:b/>
                <w:sz w:val="24"/>
                <w:szCs w:val="24"/>
              </w:rPr>
              <w:t xml:space="preserve">TX DE JUROS - EUA </w:t>
            </w:r>
          </w:p>
        </w:tc>
        <w:tc>
          <w:tcPr>
            <w:tcW w:w="5173" w:type="dxa"/>
          </w:tcPr>
          <w:p w:rsidR="00D9660A" w:rsidRPr="00861F4D" w:rsidRDefault="00D9660A" w:rsidP="00AA54D7">
            <w:pPr>
              <w:jc w:val="center"/>
              <w:rPr>
                <w:rFonts w:ascii="Verdana" w:hAnsi="Verdana" w:cs="Verdana"/>
                <w:sz w:val="24"/>
                <w:szCs w:val="24"/>
              </w:rPr>
            </w:pPr>
            <w:r w:rsidRPr="00861F4D">
              <w:rPr>
                <w:rFonts w:ascii="Verdana" w:hAnsi="Verdana" w:cs="Verdana"/>
                <w:sz w:val="24"/>
                <w:szCs w:val="24"/>
              </w:rPr>
              <w:t>0,25% a.a.</w:t>
            </w:r>
          </w:p>
        </w:tc>
      </w:tr>
    </w:tbl>
    <w:p w:rsidR="00C75FCC" w:rsidRPr="00861F4D" w:rsidRDefault="00D9660A">
      <w:pPr>
        <w:rPr>
          <w:rFonts w:ascii="Verdana" w:hAnsi="Verdana" w:cs="Verdana"/>
          <w:b/>
          <w:bCs/>
        </w:rPr>
      </w:pPr>
      <w:r w:rsidRPr="00861F4D">
        <w:rPr>
          <w:rFonts w:ascii="Verdana" w:hAnsi="Verdana" w:cs="Verdana"/>
          <w:b/>
          <w:bCs/>
        </w:rPr>
        <w:t>Fonte: CDL/BH – Pesquisa &amp; Mercado – Setor: Pesquisa e Desenvolvimento.</w:t>
      </w:r>
    </w:p>
    <w:sectPr w:rsidR="00C75FCC" w:rsidRPr="00861F4D" w:rsidSect="007F78EA">
      <w:pgSz w:w="11907" w:h="16840" w:code="9"/>
      <w:pgMar w:top="1418" w:right="851" w:bottom="1287" w:left="851" w:header="284" w:footer="1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6E6" w:rsidRDefault="00C576E6">
      <w:r>
        <w:separator/>
      </w:r>
    </w:p>
  </w:endnote>
  <w:endnote w:type="continuationSeparator" w:id="0">
    <w:p w:rsidR="00C576E6" w:rsidRDefault="00C57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al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B9" w:rsidRDefault="00A176B9" w:rsidP="00991887">
    <w:pPr>
      <w:pStyle w:val="Rodap"/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CDL/BH - Gerência de Pesquisa &amp; Mercado - Setor Pesquisa e Desenvolvimento</w:t>
    </w:r>
  </w:p>
  <w:p w:rsidR="00A176B9" w:rsidRDefault="00A176B9" w:rsidP="00991887">
    <w:pPr>
      <w:pStyle w:val="Rodap"/>
      <w:tabs>
        <w:tab w:val="center" w:pos="5102"/>
        <w:tab w:val="left" w:pos="8840"/>
      </w:tabs>
      <w:jc w:val="center"/>
      <w:rPr>
        <w:rFonts w:ascii="Verdana" w:hAnsi="Verdana" w:cs="Verdana"/>
        <w:b/>
        <w:bCs/>
      </w:rPr>
    </w:pPr>
    <w:r>
      <w:rPr>
        <w:rFonts w:ascii="Verdana" w:hAnsi="Verdana" w:cs="Verdana"/>
        <w:b/>
        <w:bCs/>
      </w:rPr>
      <w:t>CONTATO: (31) 3249-1619- economia@cdlbh.com.br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6E6" w:rsidRDefault="00C576E6">
      <w:r>
        <w:separator/>
      </w:r>
    </w:p>
  </w:footnote>
  <w:footnote w:type="continuationSeparator" w:id="0">
    <w:p w:rsidR="00C576E6" w:rsidRDefault="00C57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B9" w:rsidRPr="00ED2483" w:rsidRDefault="00A176B9" w:rsidP="002F26B2">
    <w:pPr>
      <w:pStyle w:val="Cabealho"/>
      <w:tabs>
        <w:tab w:val="clear" w:pos="4419"/>
        <w:tab w:val="clear" w:pos="8838"/>
        <w:tab w:val="left" w:pos="4367"/>
      </w:tabs>
      <w:rPr>
        <w:noProof/>
      </w:rPr>
    </w:pPr>
    <w:r>
      <w:rPr>
        <w:noProof/>
      </w:rPr>
      <w:drawing>
        <wp:inline distT="0" distB="0" distL="0" distR="0">
          <wp:extent cx="1838960" cy="775335"/>
          <wp:effectExtent l="0" t="0" r="8890" b="5715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357D"/>
    <w:multiLevelType w:val="hybridMultilevel"/>
    <w:tmpl w:val="313E5EA0"/>
    <w:lvl w:ilvl="0" w:tplc="09647B4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auto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79A303E"/>
    <w:multiLevelType w:val="hybridMultilevel"/>
    <w:tmpl w:val="E46496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C9"/>
    <w:rsid w:val="000004A7"/>
    <w:rsid w:val="000009BD"/>
    <w:rsid w:val="000020AD"/>
    <w:rsid w:val="000032F7"/>
    <w:rsid w:val="0000337B"/>
    <w:rsid w:val="00004D28"/>
    <w:rsid w:val="00004F79"/>
    <w:rsid w:val="00005375"/>
    <w:rsid w:val="0000663A"/>
    <w:rsid w:val="000115ED"/>
    <w:rsid w:val="00012A5C"/>
    <w:rsid w:val="00014752"/>
    <w:rsid w:val="000147EE"/>
    <w:rsid w:val="00015733"/>
    <w:rsid w:val="00015817"/>
    <w:rsid w:val="00015F32"/>
    <w:rsid w:val="00016A59"/>
    <w:rsid w:val="000216B2"/>
    <w:rsid w:val="00022A97"/>
    <w:rsid w:val="00026A5C"/>
    <w:rsid w:val="0002714C"/>
    <w:rsid w:val="00031D49"/>
    <w:rsid w:val="0003222E"/>
    <w:rsid w:val="000339D0"/>
    <w:rsid w:val="00041E64"/>
    <w:rsid w:val="00043533"/>
    <w:rsid w:val="0004473B"/>
    <w:rsid w:val="000448CD"/>
    <w:rsid w:val="000465B6"/>
    <w:rsid w:val="00050224"/>
    <w:rsid w:val="00051AF4"/>
    <w:rsid w:val="000557EE"/>
    <w:rsid w:val="00055872"/>
    <w:rsid w:val="00055879"/>
    <w:rsid w:val="00056FD9"/>
    <w:rsid w:val="0005704D"/>
    <w:rsid w:val="00060996"/>
    <w:rsid w:val="00061396"/>
    <w:rsid w:val="000618D6"/>
    <w:rsid w:val="00061AC3"/>
    <w:rsid w:val="00062EAE"/>
    <w:rsid w:val="0006388B"/>
    <w:rsid w:val="00063BF1"/>
    <w:rsid w:val="00066409"/>
    <w:rsid w:val="00070319"/>
    <w:rsid w:val="000715EF"/>
    <w:rsid w:val="0007169E"/>
    <w:rsid w:val="00071B57"/>
    <w:rsid w:val="00071F63"/>
    <w:rsid w:val="00071FC1"/>
    <w:rsid w:val="000720DA"/>
    <w:rsid w:val="00073D72"/>
    <w:rsid w:val="0008050A"/>
    <w:rsid w:val="000816A1"/>
    <w:rsid w:val="000822BC"/>
    <w:rsid w:val="0008335D"/>
    <w:rsid w:val="00083D8F"/>
    <w:rsid w:val="000841B5"/>
    <w:rsid w:val="00085A18"/>
    <w:rsid w:val="00086570"/>
    <w:rsid w:val="00087510"/>
    <w:rsid w:val="00087B4E"/>
    <w:rsid w:val="00092BD2"/>
    <w:rsid w:val="000953A8"/>
    <w:rsid w:val="00095443"/>
    <w:rsid w:val="000968D6"/>
    <w:rsid w:val="00096B29"/>
    <w:rsid w:val="000A04A2"/>
    <w:rsid w:val="000A1EC6"/>
    <w:rsid w:val="000A29BF"/>
    <w:rsid w:val="000A2E9A"/>
    <w:rsid w:val="000A3198"/>
    <w:rsid w:val="000A3C5E"/>
    <w:rsid w:val="000A3FF5"/>
    <w:rsid w:val="000A4627"/>
    <w:rsid w:val="000A4DFD"/>
    <w:rsid w:val="000A6977"/>
    <w:rsid w:val="000A7387"/>
    <w:rsid w:val="000A73E9"/>
    <w:rsid w:val="000B0F0F"/>
    <w:rsid w:val="000B2848"/>
    <w:rsid w:val="000B285A"/>
    <w:rsid w:val="000B3996"/>
    <w:rsid w:val="000B729B"/>
    <w:rsid w:val="000B7F31"/>
    <w:rsid w:val="000C051F"/>
    <w:rsid w:val="000C1071"/>
    <w:rsid w:val="000C25A6"/>
    <w:rsid w:val="000C2DE0"/>
    <w:rsid w:val="000C5BB3"/>
    <w:rsid w:val="000C5BF0"/>
    <w:rsid w:val="000D08F7"/>
    <w:rsid w:val="000D0FC9"/>
    <w:rsid w:val="000D3093"/>
    <w:rsid w:val="000D4078"/>
    <w:rsid w:val="000D6FBA"/>
    <w:rsid w:val="000E0899"/>
    <w:rsid w:val="000E1114"/>
    <w:rsid w:val="000E1A1D"/>
    <w:rsid w:val="000E2458"/>
    <w:rsid w:val="000E26E0"/>
    <w:rsid w:val="000E2FC2"/>
    <w:rsid w:val="000E3A64"/>
    <w:rsid w:val="000E5AC9"/>
    <w:rsid w:val="000E6B78"/>
    <w:rsid w:val="000F1B95"/>
    <w:rsid w:val="000F1F2D"/>
    <w:rsid w:val="000F2970"/>
    <w:rsid w:val="000F37F1"/>
    <w:rsid w:val="000F3A9A"/>
    <w:rsid w:val="000F463B"/>
    <w:rsid w:val="000F4FB5"/>
    <w:rsid w:val="000F68D4"/>
    <w:rsid w:val="000F6A41"/>
    <w:rsid w:val="000F7CAF"/>
    <w:rsid w:val="00100A9B"/>
    <w:rsid w:val="00102DE7"/>
    <w:rsid w:val="00105245"/>
    <w:rsid w:val="00105280"/>
    <w:rsid w:val="00105FBA"/>
    <w:rsid w:val="00106795"/>
    <w:rsid w:val="001133D7"/>
    <w:rsid w:val="00113952"/>
    <w:rsid w:val="00113BE0"/>
    <w:rsid w:val="001161D5"/>
    <w:rsid w:val="0011770B"/>
    <w:rsid w:val="00120AA7"/>
    <w:rsid w:val="00120E2F"/>
    <w:rsid w:val="00121BE9"/>
    <w:rsid w:val="00122194"/>
    <w:rsid w:val="001236F8"/>
    <w:rsid w:val="00123704"/>
    <w:rsid w:val="001240F9"/>
    <w:rsid w:val="0012444B"/>
    <w:rsid w:val="00127B00"/>
    <w:rsid w:val="00127F82"/>
    <w:rsid w:val="00130C81"/>
    <w:rsid w:val="00131068"/>
    <w:rsid w:val="0013138F"/>
    <w:rsid w:val="00133BAC"/>
    <w:rsid w:val="001345FC"/>
    <w:rsid w:val="00134B5F"/>
    <w:rsid w:val="00136339"/>
    <w:rsid w:val="00136F7C"/>
    <w:rsid w:val="00137059"/>
    <w:rsid w:val="00140F38"/>
    <w:rsid w:val="00140FC6"/>
    <w:rsid w:val="0014243A"/>
    <w:rsid w:val="00142970"/>
    <w:rsid w:val="00142CA9"/>
    <w:rsid w:val="001431C4"/>
    <w:rsid w:val="001435A7"/>
    <w:rsid w:val="001442CF"/>
    <w:rsid w:val="00144344"/>
    <w:rsid w:val="00145F5C"/>
    <w:rsid w:val="0015155C"/>
    <w:rsid w:val="00151A68"/>
    <w:rsid w:val="00152343"/>
    <w:rsid w:val="00152662"/>
    <w:rsid w:val="00154B4E"/>
    <w:rsid w:val="00155F01"/>
    <w:rsid w:val="00156329"/>
    <w:rsid w:val="00156A56"/>
    <w:rsid w:val="001575C4"/>
    <w:rsid w:val="00157A4D"/>
    <w:rsid w:val="00161AF2"/>
    <w:rsid w:val="00162482"/>
    <w:rsid w:val="001628BC"/>
    <w:rsid w:val="0016392E"/>
    <w:rsid w:val="00163C5C"/>
    <w:rsid w:val="001648E0"/>
    <w:rsid w:val="001676A2"/>
    <w:rsid w:val="00171B34"/>
    <w:rsid w:val="00172487"/>
    <w:rsid w:val="00172E24"/>
    <w:rsid w:val="00173D67"/>
    <w:rsid w:val="00177AC4"/>
    <w:rsid w:val="0018055C"/>
    <w:rsid w:val="0018170A"/>
    <w:rsid w:val="00182763"/>
    <w:rsid w:val="00183159"/>
    <w:rsid w:val="00184429"/>
    <w:rsid w:val="00185E26"/>
    <w:rsid w:val="00190313"/>
    <w:rsid w:val="001916C2"/>
    <w:rsid w:val="001929C0"/>
    <w:rsid w:val="0019628A"/>
    <w:rsid w:val="0019706F"/>
    <w:rsid w:val="001A1202"/>
    <w:rsid w:val="001A1579"/>
    <w:rsid w:val="001A55CB"/>
    <w:rsid w:val="001A5606"/>
    <w:rsid w:val="001B4127"/>
    <w:rsid w:val="001B47C1"/>
    <w:rsid w:val="001B4F1F"/>
    <w:rsid w:val="001B5E05"/>
    <w:rsid w:val="001B7246"/>
    <w:rsid w:val="001C05DE"/>
    <w:rsid w:val="001C0846"/>
    <w:rsid w:val="001C2EB3"/>
    <w:rsid w:val="001C3438"/>
    <w:rsid w:val="001C598B"/>
    <w:rsid w:val="001C67A5"/>
    <w:rsid w:val="001C67E8"/>
    <w:rsid w:val="001D1AA4"/>
    <w:rsid w:val="001D21CB"/>
    <w:rsid w:val="001E0787"/>
    <w:rsid w:val="001E1DFD"/>
    <w:rsid w:val="001E3463"/>
    <w:rsid w:val="001E44CD"/>
    <w:rsid w:val="001E4BF0"/>
    <w:rsid w:val="001E58CD"/>
    <w:rsid w:val="001E61DF"/>
    <w:rsid w:val="001E6995"/>
    <w:rsid w:val="001E7F65"/>
    <w:rsid w:val="001F0997"/>
    <w:rsid w:val="001F2846"/>
    <w:rsid w:val="001F2B24"/>
    <w:rsid w:val="001F2B95"/>
    <w:rsid w:val="001F530B"/>
    <w:rsid w:val="001F5DF8"/>
    <w:rsid w:val="00200EF5"/>
    <w:rsid w:val="002040C9"/>
    <w:rsid w:val="002043A8"/>
    <w:rsid w:val="00210D46"/>
    <w:rsid w:val="002116CA"/>
    <w:rsid w:val="002127AA"/>
    <w:rsid w:val="00213226"/>
    <w:rsid w:val="00214FFC"/>
    <w:rsid w:val="00217C6F"/>
    <w:rsid w:val="00222A60"/>
    <w:rsid w:val="00227179"/>
    <w:rsid w:val="002272F4"/>
    <w:rsid w:val="002308AA"/>
    <w:rsid w:val="00233102"/>
    <w:rsid w:val="002371A7"/>
    <w:rsid w:val="002417F9"/>
    <w:rsid w:val="002422E7"/>
    <w:rsid w:val="0024487C"/>
    <w:rsid w:val="00244AF4"/>
    <w:rsid w:val="00244E75"/>
    <w:rsid w:val="00246194"/>
    <w:rsid w:val="00246C03"/>
    <w:rsid w:val="00247035"/>
    <w:rsid w:val="00247714"/>
    <w:rsid w:val="002507AC"/>
    <w:rsid w:val="002508FF"/>
    <w:rsid w:val="00256192"/>
    <w:rsid w:val="00257914"/>
    <w:rsid w:val="002600F2"/>
    <w:rsid w:val="002603AC"/>
    <w:rsid w:val="00260829"/>
    <w:rsid w:val="002610B7"/>
    <w:rsid w:val="002617D6"/>
    <w:rsid w:val="00262DB8"/>
    <w:rsid w:val="002639AD"/>
    <w:rsid w:val="00266E0C"/>
    <w:rsid w:val="002714A9"/>
    <w:rsid w:val="00274851"/>
    <w:rsid w:val="002752C6"/>
    <w:rsid w:val="00275C53"/>
    <w:rsid w:val="002763F0"/>
    <w:rsid w:val="002806B9"/>
    <w:rsid w:val="00281CF6"/>
    <w:rsid w:val="00283F1B"/>
    <w:rsid w:val="002846F0"/>
    <w:rsid w:val="0028685C"/>
    <w:rsid w:val="00290507"/>
    <w:rsid w:val="00290F8A"/>
    <w:rsid w:val="00293E28"/>
    <w:rsid w:val="0029437D"/>
    <w:rsid w:val="002945B7"/>
    <w:rsid w:val="002966C7"/>
    <w:rsid w:val="002972D3"/>
    <w:rsid w:val="002979A0"/>
    <w:rsid w:val="002A07EA"/>
    <w:rsid w:val="002A0EED"/>
    <w:rsid w:val="002A1486"/>
    <w:rsid w:val="002A1710"/>
    <w:rsid w:val="002A33F2"/>
    <w:rsid w:val="002A3650"/>
    <w:rsid w:val="002A3991"/>
    <w:rsid w:val="002A3B9A"/>
    <w:rsid w:val="002A44CD"/>
    <w:rsid w:val="002A5BED"/>
    <w:rsid w:val="002A5F1B"/>
    <w:rsid w:val="002A6817"/>
    <w:rsid w:val="002A6843"/>
    <w:rsid w:val="002B1FA5"/>
    <w:rsid w:val="002B2A8A"/>
    <w:rsid w:val="002B3930"/>
    <w:rsid w:val="002B4C46"/>
    <w:rsid w:val="002B5403"/>
    <w:rsid w:val="002B54A0"/>
    <w:rsid w:val="002B6ADE"/>
    <w:rsid w:val="002B6D7E"/>
    <w:rsid w:val="002C2C6D"/>
    <w:rsid w:val="002C37DD"/>
    <w:rsid w:val="002C3EBF"/>
    <w:rsid w:val="002C4F9C"/>
    <w:rsid w:val="002C7A09"/>
    <w:rsid w:val="002D0BB1"/>
    <w:rsid w:val="002D18D3"/>
    <w:rsid w:val="002D1F94"/>
    <w:rsid w:val="002D263D"/>
    <w:rsid w:val="002D31BF"/>
    <w:rsid w:val="002D3528"/>
    <w:rsid w:val="002D35D6"/>
    <w:rsid w:val="002D4355"/>
    <w:rsid w:val="002D482F"/>
    <w:rsid w:val="002D6AAD"/>
    <w:rsid w:val="002D70D5"/>
    <w:rsid w:val="002D767A"/>
    <w:rsid w:val="002D7D4D"/>
    <w:rsid w:val="002E3389"/>
    <w:rsid w:val="002E48BC"/>
    <w:rsid w:val="002E63EC"/>
    <w:rsid w:val="002E7040"/>
    <w:rsid w:val="002E7C6E"/>
    <w:rsid w:val="002F0504"/>
    <w:rsid w:val="002F0CFA"/>
    <w:rsid w:val="002F25E3"/>
    <w:rsid w:val="002F26B2"/>
    <w:rsid w:val="002F3514"/>
    <w:rsid w:val="002F5567"/>
    <w:rsid w:val="002F57CF"/>
    <w:rsid w:val="002F7BEF"/>
    <w:rsid w:val="00300804"/>
    <w:rsid w:val="00300D28"/>
    <w:rsid w:val="00301095"/>
    <w:rsid w:val="00301DCD"/>
    <w:rsid w:val="00301EFF"/>
    <w:rsid w:val="00303D0A"/>
    <w:rsid w:val="00306255"/>
    <w:rsid w:val="00306D86"/>
    <w:rsid w:val="003072ED"/>
    <w:rsid w:val="00310B00"/>
    <w:rsid w:val="00311CBA"/>
    <w:rsid w:val="00315286"/>
    <w:rsid w:val="00324281"/>
    <w:rsid w:val="003260EE"/>
    <w:rsid w:val="003309D0"/>
    <w:rsid w:val="00330DB1"/>
    <w:rsid w:val="00333014"/>
    <w:rsid w:val="00333E90"/>
    <w:rsid w:val="003359AB"/>
    <w:rsid w:val="003376FF"/>
    <w:rsid w:val="00337CC9"/>
    <w:rsid w:val="00340066"/>
    <w:rsid w:val="0034111E"/>
    <w:rsid w:val="0034241F"/>
    <w:rsid w:val="00342560"/>
    <w:rsid w:val="00342A7C"/>
    <w:rsid w:val="00343A72"/>
    <w:rsid w:val="003444C3"/>
    <w:rsid w:val="00346273"/>
    <w:rsid w:val="0034666A"/>
    <w:rsid w:val="003515F7"/>
    <w:rsid w:val="0035396F"/>
    <w:rsid w:val="003555ED"/>
    <w:rsid w:val="00355DB6"/>
    <w:rsid w:val="003569CE"/>
    <w:rsid w:val="0036070A"/>
    <w:rsid w:val="00361109"/>
    <w:rsid w:val="00361926"/>
    <w:rsid w:val="0036239C"/>
    <w:rsid w:val="0036302A"/>
    <w:rsid w:val="0036590B"/>
    <w:rsid w:val="0036765E"/>
    <w:rsid w:val="003723B2"/>
    <w:rsid w:val="00372FCF"/>
    <w:rsid w:val="00373805"/>
    <w:rsid w:val="00373BF1"/>
    <w:rsid w:val="00376D20"/>
    <w:rsid w:val="00377462"/>
    <w:rsid w:val="00382C9E"/>
    <w:rsid w:val="00383EEA"/>
    <w:rsid w:val="00383F58"/>
    <w:rsid w:val="0038407C"/>
    <w:rsid w:val="00384B19"/>
    <w:rsid w:val="00386B41"/>
    <w:rsid w:val="00387497"/>
    <w:rsid w:val="00392605"/>
    <w:rsid w:val="00393B68"/>
    <w:rsid w:val="00393BAA"/>
    <w:rsid w:val="00393D87"/>
    <w:rsid w:val="00395824"/>
    <w:rsid w:val="00397A10"/>
    <w:rsid w:val="003A0156"/>
    <w:rsid w:val="003A198E"/>
    <w:rsid w:val="003A4737"/>
    <w:rsid w:val="003A59EF"/>
    <w:rsid w:val="003A7189"/>
    <w:rsid w:val="003A7DE5"/>
    <w:rsid w:val="003B2002"/>
    <w:rsid w:val="003B209C"/>
    <w:rsid w:val="003B27B0"/>
    <w:rsid w:val="003B289D"/>
    <w:rsid w:val="003B4DDC"/>
    <w:rsid w:val="003B52F4"/>
    <w:rsid w:val="003B6D59"/>
    <w:rsid w:val="003B7DB7"/>
    <w:rsid w:val="003C1445"/>
    <w:rsid w:val="003C1A36"/>
    <w:rsid w:val="003C1AC5"/>
    <w:rsid w:val="003C2860"/>
    <w:rsid w:val="003C2E60"/>
    <w:rsid w:val="003C3118"/>
    <w:rsid w:val="003C3853"/>
    <w:rsid w:val="003D2246"/>
    <w:rsid w:val="003D2B8F"/>
    <w:rsid w:val="003D40C6"/>
    <w:rsid w:val="003D4604"/>
    <w:rsid w:val="003D51C2"/>
    <w:rsid w:val="003D5842"/>
    <w:rsid w:val="003D5906"/>
    <w:rsid w:val="003D6CB8"/>
    <w:rsid w:val="003D739D"/>
    <w:rsid w:val="003D7807"/>
    <w:rsid w:val="003D7964"/>
    <w:rsid w:val="003D7CA4"/>
    <w:rsid w:val="003E2F72"/>
    <w:rsid w:val="003E4601"/>
    <w:rsid w:val="003F2366"/>
    <w:rsid w:val="003F3121"/>
    <w:rsid w:val="003F7909"/>
    <w:rsid w:val="00400A16"/>
    <w:rsid w:val="00400FE3"/>
    <w:rsid w:val="0040131D"/>
    <w:rsid w:val="00401EA3"/>
    <w:rsid w:val="004029B5"/>
    <w:rsid w:val="00403D63"/>
    <w:rsid w:val="0040519A"/>
    <w:rsid w:val="004054F3"/>
    <w:rsid w:val="0040678B"/>
    <w:rsid w:val="00406B6E"/>
    <w:rsid w:val="00406F5A"/>
    <w:rsid w:val="004121F0"/>
    <w:rsid w:val="00412848"/>
    <w:rsid w:val="00413A54"/>
    <w:rsid w:val="00414513"/>
    <w:rsid w:val="0041573D"/>
    <w:rsid w:val="0041778C"/>
    <w:rsid w:val="00417EC5"/>
    <w:rsid w:val="00420CC8"/>
    <w:rsid w:val="00420F1D"/>
    <w:rsid w:val="00421C58"/>
    <w:rsid w:val="0042347F"/>
    <w:rsid w:val="00423BF7"/>
    <w:rsid w:val="00423F9D"/>
    <w:rsid w:val="004248F3"/>
    <w:rsid w:val="00424E8F"/>
    <w:rsid w:val="004264B8"/>
    <w:rsid w:val="00427FDE"/>
    <w:rsid w:val="0043164E"/>
    <w:rsid w:val="00432637"/>
    <w:rsid w:val="00432C68"/>
    <w:rsid w:val="0043561A"/>
    <w:rsid w:val="00436768"/>
    <w:rsid w:val="00440F02"/>
    <w:rsid w:val="0044169E"/>
    <w:rsid w:val="00441854"/>
    <w:rsid w:val="004418C1"/>
    <w:rsid w:val="00442A2F"/>
    <w:rsid w:val="004433B6"/>
    <w:rsid w:val="00443A64"/>
    <w:rsid w:val="00443C00"/>
    <w:rsid w:val="0044450E"/>
    <w:rsid w:val="00444A7B"/>
    <w:rsid w:val="00447680"/>
    <w:rsid w:val="00450266"/>
    <w:rsid w:val="0045059A"/>
    <w:rsid w:val="00452FF9"/>
    <w:rsid w:val="00454BAE"/>
    <w:rsid w:val="00454F0A"/>
    <w:rsid w:val="004570F9"/>
    <w:rsid w:val="00457B19"/>
    <w:rsid w:val="00460B25"/>
    <w:rsid w:val="00461348"/>
    <w:rsid w:val="00463C29"/>
    <w:rsid w:val="0046436B"/>
    <w:rsid w:val="00464F9F"/>
    <w:rsid w:val="004669EA"/>
    <w:rsid w:val="0046779A"/>
    <w:rsid w:val="00470DA5"/>
    <w:rsid w:val="00471D4B"/>
    <w:rsid w:val="00473F6F"/>
    <w:rsid w:val="00476B79"/>
    <w:rsid w:val="00477B9A"/>
    <w:rsid w:val="0048000D"/>
    <w:rsid w:val="00480666"/>
    <w:rsid w:val="00483033"/>
    <w:rsid w:val="00484212"/>
    <w:rsid w:val="004854E3"/>
    <w:rsid w:val="0048731D"/>
    <w:rsid w:val="00487672"/>
    <w:rsid w:val="004903B8"/>
    <w:rsid w:val="00490548"/>
    <w:rsid w:val="00491689"/>
    <w:rsid w:val="00494F52"/>
    <w:rsid w:val="00495384"/>
    <w:rsid w:val="0049683B"/>
    <w:rsid w:val="004A15D8"/>
    <w:rsid w:val="004A19A3"/>
    <w:rsid w:val="004A39C3"/>
    <w:rsid w:val="004A40B7"/>
    <w:rsid w:val="004A5B54"/>
    <w:rsid w:val="004A63CB"/>
    <w:rsid w:val="004A713B"/>
    <w:rsid w:val="004A7F9F"/>
    <w:rsid w:val="004B0B52"/>
    <w:rsid w:val="004B1110"/>
    <w:rsid w:val="004B2C5B"/>
    <w:rsid w:val="004B3425"/>
    <w:rsid w:val="004B577C"/>
    <w:rsid w:val="004B6849"/>
    <w:rsid w:val="004B6D38"/>
    <w:rsid w:val="004B7A0A"/>
    <w:rsid w:val="004C00F9"/>
    <w:rsid w:val="004C0E38"/>
    <w:rsid w:val="004C7C85"/>
    <w:rsid w:val="004C7CF1"/>
    <w:rsid w:val="004C7E6C"/>
    <w:rsid w:val="004D121D"/>
    <w:rsid w:val="004D42E8"/>
    <w:rsid w:val="004D4D4F"/>
    <w:rsid w:val="004D4DAB"/>
    <w:rsid w:val="004D4FDC"/>
    <w:rsid w:val="004E19BD"/>
    <w:rsid w:val="004E2D8F"/>
    <w:rsid w:val="004E34E5"/>
    <w:rsid w:val="004E3937"/>
    <w:rsid w:val="004E5633"/>
    <w:rsid w:val="004E634B"/>
    <w:rsid w:val="004E66F3"/>
    <w:rsid w:val="004F0362"/>
    <w:rsid w:val="004F1494"/>
    <w:rsid w:val="004F261D"/>
    <w:rsid w:val="004F2DB4"/>
    <w:rsid w:val="004F3331"/>
    <w:rsid w:val="004F47B9"/>
    <w:rsid w:val="004F51B0"/>
    <w:rsid w:val="00500E5A"/>
    <w:rsid w:val="005024AB"/>
    <w:rsid w:val="00502CE4"/>
    <w:rsid w:val="005044E6"/>
    <w:rsid w:val="00506814"/>
    <w:rsid w:val="00506C48"/>
    <w:rsid w:val="005077B0"/>
    <w:rsid w:val="00511D47"/>
    <w:rsid w:val="0051322E"/>
    <w:rsid w:val="0051428B"/>
    <w:rsid w:val="0051511F"/>
    <w:rsid w:val="005158D7"/>
    <w:rsid w:val="0051600F"/>
    <w:rsid w:val="005163E4"/>
    <w:rsid w:val="00517096"/>
    <w:rsid w:val="00517458"/>
    <w:rsid w:val="00517557"/>
    <w:rsid w:val="00517EB5"/>
    <w:rsid w:val="005207E8"/>
    <w:rsid w:val="00521214"/>
    <w:rsid w:val="005214C0"/>
    <w:rsid w:val="0052379B"/>
    <w:rsid w:val="00523A39"/>
    <w:rsid w:val="00523F7B"/>
    <w:rsid w:val="00530E90"/>
    <w:rsid w:val="00532B39"/>
    <w:rsid w:val="00533C5C"/>
    <w:rsid w:val="00536716"/>
    <w:rsid w:val="00537473"/>
    <w:rsid w:val="00540AE9"/>
    <w:rsid w:val="005412F2"/>
    <w:rsid w:val="005431A9"/>
    <w:rsid w:val="00545A2D"/>
    <w:rsid w:val="005462A8"/>
    <w:rsid w:val="00547AA2"/>
    <w:rsid w:val="00552300"/>
    <w:rsid w:val="00552576"/>
    <w:rsid w:val="005539C1"/>
    <w:rsid w:val="005545B7"/>
    <w:rsid w:val="00555194"/>
    <w:rsid w:val="00556F5D"/>
    <w:rsid w:val="0056134D"/>
    <w:rsid w:val="00561361"/>
    <w:rsid w:val="00561C51"/>
    <w:rsid w:val="005624C4"/>
    <w:rsid w:val="005655D7"/>
    <w:rsid w:val="005657B8"/>
    <w:rsid w:val="00566D87"/>
    <w:rsid w:val="00567157"/>
    <w:rsid w:val="005671B9"/>
    <w:rsid w:val="00570076"/>
    <w:rsid w:val="00573500"/>
    <w:rsid w:val="00573F32"/>
    <w:rsid w:val="00574213"/>
    <w:rsid w:val="005748FE"/>
    <w:rsid w:val="005755F7"/>
    <w:rsid w:val="005771C1"/>
    <w:rsid w:val="0057796D"/>
    <w:rsid w:val="00577B1D"/>
    <w:rsid w:val="00577C9A"/>
    <w:rsid w:val="005808C1"/>
    <w:rsid w:val="00581242"/>
    <w:rsid w:val="005840D2"/>
    <w:rsid w:val="00584B7F"/>
    <w:rsid w:val="005857A5"/>
    <w:rsid w:val="00587871"/>
    <w:rsid w:val="00592438"/>
    <w:rsid w:val="00592A1A"/>
    <w:rsid w:val="0059410F"/>
    <w:rsid w:val="00594354"/>
    <w:rsid w:val="00595380"/>
    <w:rsid w:val="00596594"/>
    <w:rsid w:val="005973E3"/>
    <w:rsid w:val="005A1D89"/>
    <w:rsid w:val="005A2B18"/>
    <w:rsid w:val="005A3823"/>
    <w:rsid w:val="005A3C10"/>
    <w:rsid w:val="005A41F4"/>
    <w:rsid w:val="005A527D"/>
    <w:rsid w:val="005A5615"/>
    <w:rsid w:val="005A563E"/>
    <w:rsid w:val="005A5E07"/>
    <w:rsid w:val="005A6D3A"/>
    <w:rsid w:val="005A7AA1"/>
    <w:rsid w:val="005B0B83"/>
    <w:rsid w:val="005B0BC7"/>
    <w:rsid w:val="005B14AF"/>
    <w:rsid w:val="005B46AE"/>
    <w:rsid w:val="005B46F7"/>
    <w:rsid w:val="005B5535"/>
    <w:rsid w:val="005B7659"/>
    <w:rsid w:val="005C1190"/>
    <w:rsid w:val="005C3161"/>
    <w:rsid w:val="005C4201"/>
    <w:rsid w:val="005D0CE2"/>
    <w:rsid w:val="005D1C56"/>
    <w:rsid w:val="005D3537"/>
    <w:rsid w:val="005D3C4B"/>
    <w:rsid w:val="005D4398"/>
    <w:rsid w:val="005D5AE6"/>
    <w:rsid w:val="005D5F5C"/>
    <w:rsid w:val="005D7696"/>
    <w:rsid w:val="005E0BB6"/>
    <w:rsid w:val="005E24E2"/>
    <w:rsid w:val="005E2F9E"/>
    <w:rsid w:val="005E388B"/>
    <w:rsid w:val="005E4D15"/>
    <w:rsid w:val="005E5B14"/>
    <w:rsid w:val="005E5F65"/>
    <w:rsid w:val="005F269A"/>
    <w:rsid w:val="005F7894"/>
    <w:rsid w:val="005F7DBB"/>
    <w:rsid w:val="00601BEE"/>
    <w:rsid w:val="006027E4"/>
    <w:rsid w:val="006061B4"/>
    <w:rsid w:val="006102EA"/>
    <w:rsid w:val="0061456B"/>
    <w:rsid w:val="0061518D"/>
    <w:rsid w:val="0061552E"/>
    <w:rsid w:val="006166D5"/>
    <w:rsid w:val="00617AAC"/>
    <w:rsid w:val="006203DD"/>
    <w:rsid w:val="006207F8"/>
    <w:rsid w:val="00621D98"/>
    <w:rsid w:val="00622E63"/>
    <w:rsid w:val="006230E1"/>
    <w:rsid w:val="006240A6"/>
    <w:rsid w:val="00625460"/>
    <w:rsid w:val="00625CA7"/>
    <w:rsid w:val="00626B2E"/>
    <w:rsid w:val="006309F6"/>
    <w:rsid w:val="00631089"/>
    <w:rsid w:val="00631978"/>
    <w:rsid w:val="00631D87"/>
    <w:rsid w:val="00633923"/>
    <w:rsid w:val="00633C11"/>
    <w:rsid w:val="00634B88"/>
    <w:rsid w:val="00635709"/>
    <w:rsid w:val="00636745"/>
    <w:rsid w:val="006423E4"/>
    <w:rsid w:val="0064247D"/>
    <w:rsid w:val="00644936"/>
    <w:rsid w:val="00647724"/>
    <w:rsid w:val="00647F78"/>
    <w:rsid w:val="00650F5E"/>
    <w:rsid w:val="006535BF"/>
    <w:rsid w:val="006536F0"/>
    <w:rsid w:val="00654A62"/>
    <w:rsid w:val="00655990"/>
    <w:rsid w:val="00655F29"/>
    <w:rsid w:val="0065629D"/>
    <w:rsid w:val="0065741D"/>
    <w:rsid w:val="006578B2"/>
    <w:rsid w:val="00661822"/>
    <w:rsid w:val="0066213C"/>
    <w:rsid w:val="00662D02"/>
    <w:rsid w:val="00663DEB"/>
    <w:rsid w:val="00663E53"/>
    <w:rsid w:val="00665208"/>
    <w:rsid w:val="00666F5D"/>
    <w:rsid w:val="00667F90"/>
    <w:rsid w:val="00670287"/>
    <w:rsid w:val="00671279"/>
    <w:rsid w:val="0067159E"/>
    <w:rsid w:val="006733F0"/>
    <w:rsid w:val="00675B76"/>
    <w:rsid w:val="00676508"/>
    <w:rsid w:val="00676B3B"/>
    <w:rsid w:val="00676F6D"/>
    <w:rsid w:val="006818DF"/>
    <w:rsid w:val="00683277"/>
    <w:rsid w:val="006834A8"/>
    <w:rsid w:val="006837A8"/>
    <w:rsid w:val="00683B23"/>
    <w:rsid w:val="006856C8"/>
    <w:rsid w:val="00685ACE"/>
    <w:rsid w:val="0068613D"/>
    <w:rsid w:val="006868BB"/>
    <w:rsid w:val="00690B5C"/>
    <w:rsid w:val="00690FDF"/>
    <w:rsid w:val="00692452"/>
    <w:rsid w:val="006925E8"/>
    <w:rsid w:val="00692AD6"/>
    <w:rsid w:val="00694E4A"/>
    <w:rsid w:val="006974A9"/>
    <w:rsid w:val="00697A44"/>
    <w:rsid w:val="006A2A1A"/>
    <w:rsid w:val="006A557B"/>
    <w:rsid w:val="006A74AC"/>
    <w:rsid w:val="006A753C"/>
    <w:rsid w:val="006A78A2"/>
    <w:rsid w:val="006A7EED"/>
    <w:rsid w:val="006B1A67"/>
    <w:rsid w:val="006B30EB"/>
    <w:rsid w:val="006B35DA"/>
    <w:rsid w:val="006B56EB"/>
    <w:rsid w:val="006B577C"/>
    <w:rsid w:val="006B5BC5"/>
    <w:rsid w:val="006B5FEA"/>
    <w:rsid w:val="006B699A"/>
    <w:rsid w:val="006C0376"/>
    <w:rsid w:val="006C3BD8"/>
    <w:rsid w:val="006C3FE1"/>
    <w:rsid w:val="006C4AAA"/>
    <w:rsid w:val="006C50D0"/>
    <w:rsid w:val="006C66FC"/>
    <w:rsid w:val="006D15B3"/>
    <w:rsid w:val="006D17E5"/>
    <w:rsid w:val="006D297D"/>
    <w:rsid w:val="006D321C"/>
    <w:rsid w:val="006D4B50"/>
    <w:rsid w:val="006D616B"/>
    <w:rsid w:val="006D750B"/>
    <w:rsid w:val="006D7C49"/>
    <w:rsid w:val="006E0340"/>
    <w:rsid w:val="006E1A5A"/>
    <w:rsid w:val="006E5C92"/>
    <w:rsid w:val="006E5D61"/>
    <w:rsid w:val="006E694E"/>
    <w:rsid w:val="006E699F"/>
    <w:rsid w:val="006E6C88"/>
    <w:rsid w:val="006E7637"/>
    <w:rsid w:val="006F07BF"/>
    <w:rsid w:val="006F34D9"/>
    <w:rsid w:val="006F386B"/>
    <w:rsid w:val="006F4179"/>
    <w:rsid w:val="006F4547"/>
    <w:rsid w:val="006F62C0"/>
    <w:rsid w:val="006F7907"/>
    <w:rsid w:val="0070081F"/>
    <w:rsid w:val="00702498"/>
    <w:rsid w:val="00702526"/>
    <w:rsid w:val="007029ED"/>
    <w:rsid w:val="00702E7A"/>
    <w:rsid w:val="00703832"/>
    <w:rsid w:val="0070579B"/>
    <w:rsid w:val="0071130A"/>
    <w:rsid w:val="007119D8"/>
    <w:rsid w:val="0071691D"/>
    <w:rsid w:val="007179D9"/>
    <w:rsid w:val="0072143C"/>
    <w:rsid w:val="007214D4"/>
    <w:rsid w:val="00721959"/>
    <w:rsid w:val="00722783"/>
    <w:rsid w:val="007233F1"/>
    <w:rsid w:val="0072406A"/>
    <w:rsid w:val="007304BB"/>
    <w:rsid w:val="007325C4"/>
    <w:rsid w:val="00736DDD"/>
    <w:rsid w:val="0073763F"/>
    <w:rsid w:val="00737E3E"/>
    <w:rsid w:val="007424A5"/>
    <w:rsid w:val="00742BDF"/>
    <w:rsid w:val="00745356"/>
    <w:rsid w:val="00746470"/>
    <w:rsid w:val="007464BE"/>
    <w:rsid w:val="00746F91"/>
    <w:rsid w:val="00747728"/>
    <w:rsid w:val="0075012F"/>
    <w:rsid w:val="00750462"/>
    <w:rsid w:val="00751F2F"/>
    <w:rsid w:val="00752305"/>
    <w:rsid w:val="00754027"/>
    <w:rsid w:val="00757A86"/>
    <w:rsid w:val="00760454"/>
    <w:rsid w:val="007632E9"/>
    <w:rsid w:val="007643BF"/>
    <w:rsid w:val="00766FA0"/>
    <w:rsid w:val="00771672"/>
    <w:rsid w:val="00772C59"/>
    <w:rsid w:val="00772C69"/>
    <w:rsid w:val="0077330A"/>
    <w:rsid w:val="0077443A"/>
    <w:rsid w:val="00774460"/>
    <w:rsid w:val="007748D1"/>
    <w:rsid w:val="0077724F"/>
    <w:rsid w:val="00777E19"/>
    <w:rsid w:val="0078011C"/>
    <w:rsid w:val="007803F2"/>
    <w:rsid w:val="0078049F"/>
    <w:rsid w:val="00780AEF"/>
    <w:rsid w:val="007812C8"/>
    <w:rsid w:val="00781BE8"/>
    <w:rsid w:val="00787363"/>
    <w:rsid w:val="007908C7"/>
    <w:rsid w:val="00793CB3"/>
    <w:rsid w:val="00794847"/>
    <w:rsid w:val="00796208"/>
    <w:rsid w:val="007A001F"/>
    <w:rsid w:val="007A0577"/>
    <w:rsid w:val="007A0FC3"/>
    <w:rsid w:val="007A15FF"/>
    <w:rsid w:val="007A1849"/>
    <w:rsid w:val="007A2584"/>
    <w:rsid w:val="007A30AF"/>
    <w:rsid w:val="007A358A"/>
    <w:rsid w:val="007A468F"/>
    <w:rsid w:val="007A4D6A"/>
    <w:rsid w:val="007A6352"/>
    <w:rsid w:val="007B2F15"/>
    <w:rsid w:val="007B319B"/>
    <w:rsid w:val="007B46EA"/>
    <w:rsid w:val="007B4AA5"/>
    <w:rsid w:val="007B4C6A"/>
    <w:rsid w:val="007B5568"/>
    <w:rsid w:val="007B6014"/>
    <w:rsid w:val="007B62A4"/>
    <w:rsid w:val="007B64B5"/>
    <w:rsid w:val="007B7CEC"/>
    <w:rsid w:val="007C08DB"/>
    <w:rsid w:val="007C270D"/>
    <w:rsid w:val="007C3E74"/>
    <w:rsid w:val="007C3E7D"/>
    <w:rsid w:val="007C5AAF"/>
    <w:rsid w:val="007C7CEA"/>
    <w:rsid w:val="007D0714"/>
    <w:rsid w:val="007D0EEE"/>
    <w:rsid w:val="007D10AE"/>
    <w:rsid w:val="007D2AB0"/>
    <w:rsid w:val="007D46D4"/>
    <w:rsid w:val="007D5944"/>
    <w:rsid w:val="007D6189"/>
    <w:rsid w:val="007D785F"/>
    <w:rsid w:val="007D793C"/>
    <w:rsid w:val="007E0C26"/>
    <w:rsid w:val="007E0D9D"/>
    <w:rsid w:val="007E2874"/>
    <w:rsid w:val="007E57E4"/>
    <w:rsid w:val="007F0182"/>
    <w:rsid w:val="007F3805"/>
    <w:rsid w:val="007F4CAD"/>
    <w:rsid w:val="007F6C5A"/>
    <w:rsid w:val="007F78E3"/>
    <w:rsid w:val="007F78EA"/>
    <w:rsid w:val="007F7FF3"/>
    <w:rsid w:val="00800D38"/>
    <w:rsid w:val="008013BA"/>
    <w:rsid w:val="008014BC"/>
    <w:rsid w:val="00801F0C"/>
    <w:rsid w:val="00805765"/>
    <w:rsid w:val="008065B2"/>
    <w:rsid w:val="008071FB"/>
    <w:rsid w:val="008072BD"/>
    <w:rsid w:val="00807916"/>
    <w:rsid w:val="00810024"/>
    <w:rsid w:val="008123F3"/>
    <w:rsid w:val="008124BA"/>
    <w:rsid w:val="00815FF7"/>
    <w:rsid w:val="00816895"/>
    <w:rsid w:val="008203FC"/>
    <w:rsid w:val="00821A16"/>
    <w:rsid w:val="00822F08"/>
    <w:rsid w:val="008240D2"/>
    <w:rsid w:val="00825EF6"/>
    <w:rsid w:val="00827CC6"/>
    <w:rsid w:val="00831315"/>
    <w:rsid w:val="00832F98"/>
    <w:rsid w:val="00834066"/>
    <w:rsid w:val="00835861"/>
    <w:rsid w:val="0083746E"/>
    <w:rsid w:val="00837476"/>
    <w:rsid w:val="008403CA"/>
    <w:rsid w:val="00840D1F"/>
    <w:rsid w:val="00842295"/>
    <w:rsid w:val="008447D6"/>
    <w:rsid w:val="00846CD0"/>
    <w:rsid w:val="00846FD7"/>
    <w:rsid w:val="008504AC"/>
    <w:rsid w:val="00850AEE"/>
    <w:rsid w:val="008541DA"/>
    <w:rsid w:val="00854A6A"/>
    <w:rsid w:val="00861BE6"/>
    <w:rsid w:val="00861F4D"/>
    <w:rsid w:val="008620A3"/>
    <w:rsid w:val="008623BB"/>
    <w:rsid w:val="008628B5"/>
    <w:rsid w:val="00862D3B"/>
    <w:rsid w:val="0086492D"/>
    <w:rsid w:val="008652C6"/>
    <w:rsid w:val="00866C1B"/>
    <w:rsid w:val="0087737C"/>
    <w:rsid w:val="0088100D"/>
    <w:rsid w:val="00882977"/>
    <w:rsid w:val="00882CA3"/>
    <w:rsid w:val="008842B5"/>
    <w:rsid w:val="00885150"/>
    <w:rsid w:val="00885694"/>
    <w:rsid w:val="00885E17"/>
    <w:rsid w:val="008869B3"/>
    <w:rsid w:val="008870FC"/>
    <w:rsid w:val="00891F9F"/>
    <w:rsid w:val="008929BE"/>
    <w:rsid w:val="00894CF9"/>
    <w:rsid w:val="00894ECA"/>
    <w:rsid w:val="00896F60"/>
    <w:rsid w:val="008A002A"/>
    <w:rsid w:val="008A0456"/>
    <w:rsid w:val="008A51F3"/>
    <w:rsid w:val="008A7472"/>
    <w:rsid w:val="008A7484"/>
    <w:rsid w:val="008B14FB"/>
    <w:rsid w:val="008B22AF"/>
    <w:rsid w:val="008B2517"/>
    <w:rsid w:val="008B3197"/>
    <w:rsid w:val="008B4896"/>
    <w:rsid w:val="008B4F2A"/>
    <w:rsid w:val="008B5EC8"/>
    <w:rsid w:val="008B78D6"/>
    <w:rsid w:val="008C0D80"/>
    <w:rsid w:val="008C1A25"/>
    <w:rsid w:val="008C3A2D"/>
    <w:rsid w:val="008C3BC1"/>
    <w:rsid w:val="008C66BE"/>
    <w:rsid w:val="008C6C0A"/>
    <w:rsid w:val="008C6D4B"/>
    <w:rsid w:val="008C71B5"/>
    <w:rsid w:val="008D01BA"/>
    <w:rsid w:val="008D0A60"/>
    <w:rsid w:val="008D13C3"/>
    <w:rsid w:val="008D296E"/>
    <w:rsid w:val="008D3412"/>
    <w:rsid w:val="008D512E"/>
    <w:rsid w:val="008D5D9A"/>
    <w:rsid w:val="008D6371"/>
    <w:rsid w:val="008D753D"/>
    <w:rsid w:val="008D7978"/>
    <w:rsid w:val="008D79A6"/>
    <w:rsid w:val="008D7F51"/>
    <w:rsid w:val="008E298C"/>
    <w:rsid w:val="008E475B"/>
    <w:rsid w:val="008E5B64"/>
    <w:rsid w:val="008E5E18"/>
    <w:rsid w:val="008E68E7"/>
    <w:rsid w:val="008F0E4B"/>
    <w:rsid w:val="008F158E"/>
    <w:rsid w:val="008F1739"/>
    <w:rsid w:val="008F2357"/>
    <w:rsid w:val="008F3276"/>
    <w:rsid w:val="008F4AF0"/>
    <w:rsid w:val="008F595A"/>
    <w:rsid w:val="008F6402"/>
    <w:rsid w:val="008F6835"/>
    <w:rsid w:val="008F6B2C"/>
    <w:rsid w:val="008F7120"/>
    <w:rsid w:val="00902753"/>
    <w:rsid w:val="0090522C"/>
    <w:rsid w:val="00907C2B"/>
    <w:rsid w:val="009108C2"/>
    <w:rsid w:val="0091354F"/>
    <w:rsid w:val="00914173"/>
    <w:rsid w:val="00916B11"/>
    <w:rsid w:val="00917750"/>
    <w:rsid w:val="00917B6C"/>
    <w:rsid w:val="0092117E"/>
    <w:rsid w:val="00921C1F"/>
    <w:rsid w:val="00922815"/>
    <w:rsid w:val="0092311A"/>
    <w:rsid w:val="00924B44"/>
    <w:rsid w:val="009262DE"/>
    <w:rsid w:val="00926508"/>
    <w:rsid w:val="00927850"/>
    <w:rsid w:val="00927943"/>
    <w:rsid w:val="00927B92"/>
    <w:rsid w:val="009300FA"/>
    <w:rsid w:val="00931781"/>
    <w:rsid w:val="00932815"/>
    <w:rsid w:val="00933733"/>
    <w:rsid w:val="00933995"/>
    <w:rsid w:val="00935EAF"/>
    <w:rsid w:val="00936C52"/>
    <w:rsid w:val="00937275"/>
    <w:rsid w:val="00940151"/>
    <w:rsid w:val="0095062C"/>
    <w:rsid w:val="00950D62"/>
    <w:rsid w:val="00952800"/>
    <w:rsid w:val="009540AB"/>
    <w:rsid w:val="009579E9"/>
    <w:rsid w:val="00960267"/>
    <w:rsid w:val="00961521"/>
    <w:rsid w:val="00961DD4"/>
    <w:rsid w:val="00962075"/>
    <w:rsid w:val="0096371A"/>
    <w:rsid w:val="009641FB"/>
    <w:rsid w:val="009653ED"/>
    <w:rsid w:val="0097049B"/>
    <w:rsid w:val="00970F92"/>
    <w:rsid w:val="00971A0B"/>
    <w:rsid w:val="00972A79"/>
    <w:rsid w:val="0097791A"/>
    <w:rsid w:val="009779B2"/>
    <w:rsid w:val="00984785"/>
    <w:rsid w:val="009847C7"/>
    <w:rsid w:val="00984BEE"/>
    <w:rsid w:val="00985782"/>
    <w:rsid w:val="0098587B"/>
    <w:rsid w:val="00985B24"/>
    <w:rsid w:val="00990784"/>
    <w:rsid w:val="00991254"/>
    <w:rsid w:val="00991887"/>
    <w:rsid w:val="0099204F"/>
    <w:rsid w:val="00994958"/>
    <w:rsid w:val="00995818"/>
    <w:rsid w:val="009962AF"/>
    <w:rsid w:val="00996A9A"/>
    <w:rsid w:val="009975D6"/>
    <w:rsid w:val="009A01AA"/>
    <w:rsid w:val="009A1B14"/>
    <w:rsid w:val="009A50A8"/>
    <w:rsid w:val="009A6198"/>
    <w:rsid w:val="009A6C24"/>
    <w:rsid w:val="009A788C"/>
    <w:rsid w:val="009B07EF"/>
    <w:rsid w:val="009B23CD"/>
    <w:rsid w:val="009B2E0A"/>
    <w:rsid w:val="009B4A1A"/>
    <w:rsid w:val="009B5DEF"/>
    <w:rsid w:val="009C0FA3"/>
    <w:rsid w:val="009C1379"/>
    <w:rsid w:val="009C1ADE"/>
    <w:rsid w:val="009C2632"/>
    <w:rsid w:val="009C313E"/>
    <w:rsid w:val="009C43BC"/>
    <w:rsid w:val="009C44B0"/>
    <w:rsid w:val="009C48D6"/>
    <w:rsid w:val="009C5448"/>
    <w:rsid w:val="009C5AD2"/>
    <w:rsid w:val="009C6AFF"/>
    <w:rsid w:val="009C78E3"/>
    <w:rsid w:val="009C7B03"/>
    <w:rsid w:val="009D017F"/>
    <w:rsid w:val="009D0AFB"/>
    <w:rsid w:val="009D1CB7"/>
    <w:rsid w:val="009D48CB"/>
    <w:rsid w:val="009D4CA1"/>
    <w:rsid w:val="009D515F"/>
    <w:rsid w:val="009D712E"/>
    <w:rsid w:val="009E0BBB"/>
    <w:rsid w:val="009E0EAD"/>
    <w:rsid w:val="009E179E"/>
    <w:rsid w:val="009E1E3F"/>
    <w:rsid w:val="009E32CB"/>
    <w:rsid w:val="009E391A"/>
    <w:rsid w:val="009E3E8F"/>
    <w:rsid w:val="009E5EE0"/>
    <w:rsid w:val="009E5FD2"/>
    <w:rsid w:val="009E670A"/>
    <w:rsid w:val="009E6C47"/>
    <w:rsid w:val="009E7B25"/>
    <w:rsid w:val="009F0F03"/>
    <w:rsid w:val="009F1EF6"/>
    <w:rsid w:val="009F23F7"/>
    <w:rsid w:val="009F2720"/>
    <w:rsid w:val="009F2E5B"/>
    <w:rsid w:val="009F348F"/>
    <w:rsid w:val="009F3A9E"/>
    <w:rsid w:val="009F4BBD"/>
    <w:rsid w:val="009F568B"/>
    <w:rsid w:val="009F708B"/>
    <w:rsid w:val="00A03484"/>
    <w:rsid w:val="00A03AE9"/>
    <w:rsid w:val="00A05D2F"/>
    <w:rsid w:val="00A07404"/>
    <w:rsid w:val="00A12B47"/>
    <w:rsid w:val="00A14900"/>
    <w:rsid w:val="00A14965"/>
    <w:rsid w:val="00A158D4"/>
    <w:rsid w:val="00A171FF"/>
    <w:rsid w:val="00A176B9"/>
    <w:rsid w:val="00A17952"/>
    <w:rsid w:val="00A2092B"/>
    <w:rsid w:val="00A21246"/>
    <w:rsid w:val="00A21889"/>
    <w:rsid w:val="00A24042"/>
    <w:rsid w:val="00A24B55"/>
    <w:rsid w:val="00A25E8B"/>
    <w:rsid w:val="00A25F95"/>
    <w:rsid w:val="00A26D70"/>
    <w:rsid w:val="00A31567"/>
    <w:rsid w:val="00A37700"/>
    <w:rsid w:val="00A37E2A"/>
    <w:rsid w:val="00A401FA"/>
    <w:rsid w:val="00A404F2"/>
    <w:rsid w:val="00A45651"/>
    <w:rsid w:val="00A45F4B"/>
    <w:rsid w:val="00A4657C"/>
    <w:rsid w:val="00A50199"/>
    <w:rsid w:val="00A525ED"/>
    <w:rsid w:val="00A52A38"/>
    <w:rsid w:val="00A538CE"/>
    <w:rsid w:val="00A547F4"/>
    <w:rsid w:val="00A54D40"/>
    <w:rsid w:val="00A56E1F"/>
    <w:rsid w:val="00A5710F"/>
    <w:rsid w:val="00A57BB4"/>
    <w:rsid w:val="00A57CBD"/>
    <w:rsid w:val="00A6011B"/>
    <w:rsid w:val="00A648D3"/>
    <w:rsid w:val="00A649A6"/>
    <w:rsid w:val="00A67B6F"/>
    <w:rsid w:val="00A70843"/>
    <w:rsid w:val="00A70F4E"/>
    <w:rsid w:val="00A71CC2"/>
    <w:rsid w:val="00A72D03"/>
    <w:rsid w:val="00A72DF9"/>
    <w:rsid w:val="00A73B50"/>
    <w:rsid w:val="00A73DAF"/>
    <w:rsid w:val="00A74B98"/>
    <w:rsid w:val="00A754C2"/>
    <w:rsid w:val="00A75BF7"/>
    <w:rsid w:val="00A77F0F"/>
    <w:rsid w:val="00A8003A"/>
    <w:rsid w:val="00A8261B"/>
    <w:rsid w:val="00A844AF"/>
    <w:rsid w:val="00A84AF7"/>
    <w:rsid w:val="00A872E9"/>
    <w:rsid w:val="00A909B0"/>
    <w:rsid w:val="00A90F1D"/>
    <w:rsid w:val="00A91ADF"/>
    <w:rsid w:val="00A93A6D"/>
    <w:rsid w:val="00A946A3"/>
    <w:rsid w:val="00A946A7"/>
    <w:rsid w:val="00A957D5"/>
    <w:rsid w:val="00A95BB9"/>
    <w:rsid w:val="00A967AE"/>
    <w:rsid w:val="00A9688A"/>
    <w:rsid w:val="00A96FB2"/>
    <w:rsid w:val="00A978EA"/>
    <w:rsid w:val="00A97AC1"/>
    <w:rsid w:val="00AA54D7"/>
    <w:rsid w:val="00AA57A3"/>
    <w:rsid w:val="00AA5F49"/>
    <w:rsid w:val="00AA7E02"/>
    <w:rsid w:val="00AB0147"/>
    <w:rsid w:val="00AB1D1D"/>
    <w:rsid w:val="00AB2616"/>
    <w:rsid w:val="00AB351C"/>
    <w:rsid w:val="00AB5A28"/>
    <w:rsid w:val="00AC0779"/>
    <w:rsid w:val="00AC14A6"/>
    <w:rsid w:val="00AC295C"/>
    <w:rsid w:val="00AC3485"/>
    <w:rsid w:val="00AC6752"/>
    <w:rsid w:val="00AC6B09"/>
    <w:rsid w:val="00AC7235"/>
    <w:rsid w:val="00AC7B71"/>
    <w:rsid w:val="00AC7FF1"/>
    <w:rsid w:val="00AD0DBA"/>
    <w:rsid w:val="00AD0E0E"/>
    <w:rsid w:val="00AD2BAA"/>
    <w:rsid w:val="00AD330A"/>
    <w:rsid w:val="00AD440D"/>
    <w:rsid w:val="00AD4B9B"/>
    <w:rsid w:val="00AD4D0B"/>
    <w:rsid w:val="00AD5144"/>
    <w:rsid w:val="00AD5D4C"/>
    <w:rsid w:val="00AD5F0E"/>
    <w:rsid w:val="00AD7FD5"/>
    <w:rsid w:val="00AE0CD4"/>
    <w:rsid w:val="00AE1A22"/>
    <w:rsid w:val="00AE30DA"/>
    <w:rsid w:val="00AE3D43"/>
    <w:rsid w:val="00AE6F8A"/>
    <w:rsid w:val="00AE7A5A"/>
    <w:rsid w:val="00AF0375"/>
    <w:rsid w:val="00AF0B96"/>
    <w:rsid w:val="00AF245E"/>
    <w:rsid w:val="00AF4CDA"/>
    <w:rsid w:val="00AF5A9F"/>
    <w:rsid w:val="00B02659"/>
    <w:rsid w:val="00B030F8"/>
    <w:rsid w:val="00B049C9"/>
    <w:rsid w:val="00B04ABC"/>
    <w:rsid w:val="00B06703"/>
    <w:rsid w:val="00B06C30"/>
    <w:rsid w:val="00B06DBC"/>
    <w:rsid w:val="00B07784"/>
    <w:rsid w:val="00B10613"/>
    <w:rsid w:val="00B137FB"/>
    <w:rsid w:val="00B147FE"/>
    <w:rsid w:val="00B16456"/>
    <w:rsid w:val="00B1758B"/>
    <w:rsid w:val="00B2021D"/>
    <w:rsid w:val="00B2119D"/>
    <w:rsid w:val="00B21C7D"/>
    <w:rsid w:val="00B220ED"/>
    <w:rsid w:val="00B2402A"/>
    <w:rsid w:val="00B25D57"/>
    <w:rsid w:val="00B260A4"/>
    <w:rsid w:val="00B27DCC"/>
    <w:rsid w:val="00B31A56"/>
    <w:rsid w:val="00B31C5C"/>
    <w:rsid w:val="00B343EF"/>
    <w:rsid w:val="00B34722"/>
    <w:rsid w:val="00B36A50"/>
    <w:rsid w:val="00B40778"/>
    <w:rsid w:val="00B4108A"/>
    <w:rsid w:val="00B41CAB"/>
    <w:rsid w:val="00B43138"/>
    <w:rsid w:val="00B437A6"/>
    <w:rsid w:val="00B43EBB"/>
    <w:rsid w:val="00B44D58"/>
    <w:rsid w:val="00B45619"/>
    <w:rsid w:val="00B46F8B"/>
    <w:rsid w:val="00B50511"/>
    <w:rsid w:val="00B51103"/>
    <w:rsid w:val="00B521EC"/>
    <w:rsid w:val="00B57635"/>
    <w:rsid w:val="00B64252"/>
    <w:rsid w:val="00B64F4D"/>
    <w:rsid w:val="00B65277"/>
    <w:rsid w:val="00B65450"/>
    <w:rsid w:val="00B656C7"/>
    <w:rsid w:val="00B709B7"/>
    <w:rsid w:val="00B70B04"/>
    <w:rsid w:val="00B721E3"/>
    <w:rsid w:val="00B72DC4"/>
    <w:rsid w:val="00B756CD"/>
    <w:rsid w:val="00B75877"/>
    <w:rsid w:val="00B760F4"/>
    <w:rsid w:val="00B76832"/>
    <w:rsid w:val="00B80D2C"/>
    <w:rsid w:val="00B83928"/>
    <w:rsid w:val="00B83E3C"/>
    <w:rsid w:val="00B85664"/>
    <w:rsid w:val="00B87213"/>
    <w:rsid w:val="00B87345"/>
    <w:rsid w:val="00B873C5"/>
    <w:rsid w:val="00B87770"/>
    <w:rsid w:val="00B87BAE"/>
    <w:rsid w:val="00B90245"/>
    <w:rsid w:val="00B90AA5"/>
    <w:rsid w:val="00B91133"/>
    <w:rsid w:val="00B92176"/>
    <w:rsid w:val="00B92F8F"/>
    <w:rsid w:val="00B94078"/>
    <w:rsid w:val="00B94A2D"/>
    <w:rsid w:val="00B94DD5"/>
    <w:rsid w:val="00B96248"/>
    <w:rsid w:val="00BA096F"/>
    <w:rsid w:val="00BA2424"/>
    <w:rsid w:val="00BA3FB1"/>
    <w:rsid w:val="00BA4A2C"/>
    <w:rsid w:val="00BA4DE0"/>
    <w:rsid w:val="00BA69D1"/>
    <w:rsid w:val="00BA6FCF"/>
    <w:rsid w:val="00BA74D2"/>
    <w:rsid w:val="00BA79EE"/>
    <w:rsid w:val="00BB22C6"/>
    <w:rsid w:val="00BB3CED"/>
    <w:rsid w:val="00BB47C8"/>
    <w:rsid w:val="00BB4C92"/>
    <w:rsid w:val="00BB4DB0"/>
    <w:rsid w:val="00BB5CD7"/>
    <w:rsid w:val="00BB5E6D"/>
    <w:rsid w:val="00BB7C4C"/>
    <w:rsid w:val="00BB7F0E"/>
    <w:rsid w:val="00BC4D73"/>
    <w:rsid w:val="00BC57D9"/>
    <w:rsid w:val="00BC6031"/>
    <w:rsid w:val="00BC7BFC"/>
    <w:rsid w:val="00BD101D"/>
    <w:rsid w:val="00BD23E1"/>
    <w:rsid w:val="00BD3A32"/>
    <w:rsid w:val="00BD6233"/>
    <w:rsid w:val="00BD6397"/>
    <w:rsid w:val="00BD6B85"/>
    <w:rsid w:val="00BD72A0"/>
    <w:rsid w:val="00BD775A"/>
    <w:rsid w:val="00BE1042"/>
    <w:rsid w:val="00BE232D"/>
    <w:rsid w:val="00BE288E"/>
    <w:rsid w:val="00BE34AC"/>
    <w:rsid w:val="00BE4EBD"/>
    <w:rsid w:val="00BE7274"/>
    <w:rsid w:val="00BE7AA3"/>
    <w:rsid w:val="00BF02C8"/>
    <w:rsid w:val="00BF03E1"/>
    <w:rsid w:val="00BF057D"/>
    <w:rsid w:val="00BF0F63"/>
    <w:rsid w:val="00BF50C7"/>
    <w:rsid w:val="00BF5195"/>
    <w:rsid w:val="00BF5CFD"/>
    <w:rsid w:val="00BF614E"/>
    <w:rsid w:val="00BF695C"/>
    <w:rsid w:val="00BF6B96"/>
    <w:rsid w:val="00C0350E"/>
    <w:rsid w:val="00C06CF7"/>
    <w:rsid w:val="00C073B2"/>
    <w:rsid w:val="00C074CB"/>
    <w:rsid w:val="00C07633"/>
    <w:rsid w:val="00C10746"/>
    <w:rsid w:val="00C11810"/>
    <w:rsid w:val="00C11913"/>
    <w:rsid w:val="00C128AF"/>
    <w:rsid w:val="00C14763"/>
    <w:rsid w:val="00C22574"/>
    <w:rsid w:val="00C23BEE"/>
    <w:rsid w:val="00C240D8"/>
    <w:rsid w:val="00C24CAC"/>
    <w:rsid w:val="00C26279"/>
    <w:rsid w:val="00C26DDB"/>
    <w:rsid w:val="00C2742C"/>
    <w:rsid w:val="00C2759D"/>
    <w:rsid w:val="00C301B5"/>
    <w:rsid w:val="00C33E1A"/>
    <w:rsid w:val="00C35283"/>
    <w:rsid w:val="00C36C93"/>
    <w:rsid w:val="00C40912"/>
    <w:rsid w:val="00C41239"/>
    <w:rsid w:val="00C44676"/>
    <w:rsid w:val="00C44BAC"/>
    <w:rsid w:val="00C44F7A"/>
    <w:rsid w:val="00C45BB4"/>
    <w:rsid w:val="00C45C16"/>
    <w:rsid w:val="00C51573"/>
    <w:rsid w:val="00C518B8"/>
    <w:rsid w:val="00C51F92"/>
    <w:rsid w:val="00C53F03"/>
    <w:rsid w:val="00C57032"/>
    <w:rsid w:val="00C576E6"/>
    <w:rsid w:val="00C60F1A"/>
    <w:rsid w:val="00C635B6"/>
    <w:rsid w:val="00C64306"/>
    <w:rsid w:val="00C64AFE"/>
    <w:rsid w:val="00C65B2D"/>
    <w:rsid w:val="00C66843"/>
    <w:rsid w:val="00C66FFA"/>
    <w:rsid w:val="00C7287B"/>
    <w:rsid w:val="00C73644"/>
    <w:rsid w:val="00C738E2"/>
    <w:rsid w:val="00C742E5"/>
    <w:rsid w:val="00C74F15"/>
    <w:rsid w:val="00C75FCC"/>
    <w:rsid w:val="00C76ED2"/>
    <w:rsid w:val="00C775F5"/>
    <w:rsid w:val="00C8211C"/>
    <w:rsid w:val="00C8298F"/>
    <w:rsid w:val="00C82E14"/>
    <w:rsid w:val="00C830AA"/>
    <w:rsid w:val="00C835F7"/>
    <w:rsid w:val="00C84DA1"/>
    <w:rsid w:val="00C84E7A"/>
    <w:rsid w:val="00C8627C"/>
    <w:rsid w:val="00C9093E"/>
    <w:rsid w:val="00C90BBB"/>
    <w:rsid w:val="00C90F68"/>
    <w:rsid w:val="00C91301"/>
    <w:rsid w:val="00C947D6"/>
    <w:rsid w:val="00C95135"/>
    <w:rsid w:val="00C96386"/>
    <w:rsid w:val="00C964D6"/>
    <w:rsid w:val="00CA0E75"/>
    <w:rsid w:val="00CA2785"/>
    <w:rsid w:val="00CA5D2D"/>
    <w:rsid w:val="00CA6234"/>
    <w:rsid w:val="00CA6AA3"/>
    <w:rsid w:val="00CA7064"/>
    <w:rsid w:val="00CA7648"/>
    <w:rsid w:val="00CB019C"/>
    <w:rsid w:val="00CB0245"/>
    <w:rsid w:val="00CB06C9"/>
    <w:rsid w:val="00CB0C3C"/>
    <w:rsid w:val="00CB122C"/>
    <w:rsid w:val="00CB2382"/>
    <w:rsid w:val="00CB250A"/>
    <w:rsid w:val="00CB32DE"/>
    <w:rsid w:val="00CB3908"/>
    <w:rsid w:val="00CB545C"/>
    <w:rsid w:val="00CB70D7"/>
    <w:rsid w:val="00CC0827"/>
    <w:rsid w:val="00CC1088"/>
    <w:rsid w:val="00CC387B"/>
    <w:rsid w:val="00CC4F5A"/>
    <w:rsid w:val="00CD08DE"/>
    <w:rsid w:val="00CD0B98"/>
    <w:rsid w:val="00CD34CF"/>
    <w:rsid w:val="00CD390C"/>
    <w:rsid w:val="00CD5864"/>
    <w:rsid w:val="00CD69FA"/>
    <w:rsid w:val="00CE34B0"/>
    <w:rsid w:val="00CE4BC3"/>
    <w:rsid w:val="00CE521D"/>
    <w:rsid w:val="00CE681A"/>
    <w:rsid w:val="00CF1519"/>
    <w:rsid w:val="00CF30A3"/>
    <w:rsid w:val="00CF3823"/>
    <w:rsid w:val="00CF4476"/>
    <w:rsid w:val="00CF4674"/>
    <w:rsid w:val="00CF4C4D"/>
    <w:rsid w:val="00CF62F8"/>
    <w:rsid w:val="00CF6FC2"/>
    <w:rsid w:val="00CF7DDE"/>
    <w:rsid w:val="00D0008E"/>
    <w:rsid w:val="00D00827"/>
    <w:rsid w:val="00D028F8"/>
    <w:rsid w:val="00D02EBA"/>
    <w:rsid w:val="00D0626D"/>
    <w:rsid w:val="00D064DD"/>
    <w:rsid w:val="00D10F3C"/>
    <w:rsid w:val="00D110E2"/>
    <w:rsid w:val="00D1369F"/>
    <w:rsid w:val="00D14F44"/>
    <w:rsid w:val="00D159A4"/>
    <w:rsid w:val="00D16786"/>
    <w:rsid w:val="00D170B5"/>
    <w:rsid w:val="00D175D2"/>
    <w:rsid w:val="00D20B0E"/>
    <w:rsid w:val="00D21B9D"/>
    <w:rsid w:val="00D21C4C"/>
    <w:rsid w:val="00D26F1E"/>
    <w:rsid w:val="00D309E0"/>
    <w:rsid w:val="00D3169D"/>
    <w:rsid w:val="00D32114"/>
    <w:rsid w:val="00D32802"/>
    <w:rsid w:val="00D33EA5"/>
    <w:rsid w:val="00D35078"/>
    <w:rsid w:val="00D37516"/>
    <w:rsid w:val="00D375FD"/>
    <w:rsid w:val="00D411BE"/>
    <w:rsid w:val="00D46514"/>
    <w:rsid w:val="00D50507"/>
    <w:rsid w:val="00D51A88"/>
    <w:rsid w:val="00D52592"/>
    <w:rsid w:val="00D52FC6"/>
    <w:rsid w:val="00D5306B"/>
    <w:rsid w:val="00D556D5"/>
    <w:rsid w:val="00D56161"/>
    <w:rsid w:val="00D60F48"/>
    <w:rsid w:val="00D61C97"/>
    <w:rsid w:val="00D6345E"/>
    <w:rsid w:val="00D64E6B"/>
    <w:rsid w:val="00D65B6F"/>
    <w:rsid w:val="00D66F14"/>
    <w:rsid w:val="00D67191"/>
    <w:rsid w:val="00D67FE6"/>
    <w:rsid w:val="00D70B38"/>
    <w:rsid w:val="00D70FE3"/>
    <w:rsid w:val="00D717B6"/>
    <w:rsid w:val="00D733E7"/>
    <w:rsid w:val="00D739BB"/>
    <w:rsid w:val="00D74174"/>
    <w:rsid w:val="00D76127"/>
    <w:rsid w:val="00D771CA"/>
    <w:rsid w:val="00D821B7"/>
    <w:rsid w:val="00D8467F"/>
    <w:rsid w:val="00D86D03"/>
    <w:rsid w:val="00D90BF4"/>
    <w:rsid w:val="00D91B39"/>
    <w:rsid w:val="00D92680"/>
    <w:rsid w:val="00D94D94"/>
    <w:rsid w:val="00D952F5"/>
    <w:rsid w:val="00D95735"/>
    <w:rsid w:val="00D95D5D"/>
    <w:rsid w:val="00D9660A"/>
    <w:rsid w:val="00D96F25"/>
    <w:rsid w:val="00D97303"/>
    <w:rsid w:val="00D97D6E"/>
    <w:rsid w:val="00DA0706"/>
    <w:rsid w:val="00DA1FBD"/>
    <w:rsid w:val="00DA2351"/>
    <w:rsid w:val="00DA327D"/>
    <w:rsid w:val="00DA40AF"/>
    <w:rsid w:val="00DA454A"/>
    <w:rsid w:val="00DA5404"/>
    <w:rsid w:val="00DA6332"/>
    <w:rsid w:val="00DA7C06"/>
    <w:rsid w:val="00DA7E6A"/>
    <w:rsid w:val="00DB09C7"/>
    <w:rsid w:val="00DB5B89"/>
    <w:rsid w:val="00DC0380"/>
    <w:rsid w:val="00DC14F0"/>
    <w:rsid w:val="00DC2970"/>
    <w:rsid w:val="00DC3886"/>
    <w:rsid w:val="00DC4987"/>
    <w:rsid w:val="00DC5B47"/>
    <w:rsid w:val="00DC674E"/>
    <w:rsid w:val="00DC7A67"/>
    <w:rsid w:val="00DC7FF8"/>
    <w:rsid w:val="00DD4C00"/>
    <w:rsid w:val="00DD7219"/>
    <w:rsid w:val="00DD7BA0"/>
    <w:rsid w:val="00DE2988"/>
    <w:rsid w:val="00DE2BAB"/>
    <w:rsid w:val="00DE3E35"/>
    <w:rsid w:val="00DE44AB"/>
    <w:rsid w:val="00DE472F"/>
    <w:rsid w:val="00DE5368"/>
    <w:rsid w:val="00DE5FAA"/>
    <w:rsid w:val="00DE7D5D"/>
    <w:rsid w:val="00DF1AC7"/>
    <w:rsid w:val="00DF1F4A"/>
    <w:rsid w:val="00DF2503"/>
    <w:rsid w:val="00DF2D97"/>
    <w:rsid w:val="00DF3154"/>
    <w:rsid w:val="00DF40E3"/>
    <w:rsid w:val="00DF6B57"/>
    <w:rsid w:val="00DF6DFA"/>
    <w:rsid w:val="00DF7993"/>
    <w:rsid w:val="00E00A0E"/>
    <w:rsid w:val="00E02F3E"/>
    <w:rsid w:val="00E03B2E"/>
    <w:rsid w:val="00E04840"/>
    <w:rsid w:val="00E05A73"/>
    <w:rsid w:val="00E06EFE"/>
    <w:rsid w:val="00E06F17"/>
    <w:rsid w:val="00E07A19"/>
    <w:rsid w:val="00E10C7C"/>
    <w:rsid w:val="00E13D0F"/>
    <w:rsid w:val="00E13DDA"/>
    <w:rsid w:val="00E14B1E"/>
    <w:rsid w:val="00E14DE7"/>
    <w:rsid w:val="00E175DF"/>
    <w:rsid w:val="00E22F8F"/>
    <w:rsid w:val="00E237A7"/>
    <w:rsid w:val="00E23D30"/>
    <w:rsid w:val="00E258E8"/>
    <w:rsid w:val="00E26584"/>
    <w:rsid w:val="00E27056"/>
    <w:rsid w:val="00E30C44"/>
    <w:rsid w:val="00E327F8"/>
    <w:rsid w:val="00E32C7E"/>
    <w:rsid w:val="00E33592"/>
    <w:rsid w:val="00E353FA"/>
    <w:rsid w:val="00E35F3F"/>
    <w:rsid w:val="00E363E3"/>
    <w:rsid w:val="00E371AA"/>
    <w:rsid w:val="00E37693"/>
    <w:rsid w:val="00E37FAA"/>
    <w:rsid w:val="00E410BA"/>
    <w:rsid w:val="00E44575"/>
    <w:rsid w:val="00E44BD6"/>
    <w:rsid w:val="00E51157"/>
    <w:rsid w:val="00E527DE"/>
    <w:rsid w:val="00E53D79"/>
    <w:rsid w:val="00E559E4"/>
    <w:rsid w:val="00E55B5A"/>
    <w:rsid w:val="00E56378"/>
    <w:rsid w:val="00E564B7"/>
    <w:rsid w:val="00E6169A"/>
    <w:rsid w:val="00E637A0"/>
    <w:rsid w:val="00E64EEE"/>
    <w:rsid w:val="00E66684"/>
    <w:rsid w:val="00E7089A"/>
    <w:rsid w:val="00E72F4D"/>
    <w:rsid w:val="00E73ABD"/>
    <w:rsid w:val="00E73D5A"/>
    <w:rsid w:val="00E74B06"/>
    <w:rsid w:val="00E75E33"/>
    <w:rsid w:val="00E76A07"/>
    <w:rsid w:val="00E77703"/>
    <w:rsid w:val="00E80C33"/>
    <w:rsid w:val="00E80C56"/>
    <w:rsid w:val="00E83017"/>
    <w:rsid w:val="00E84100"/>
    <w:rsid w:val="00E85A93"/>
    <w:rsid w:val="00E8654B"/>
    <w:rsid w:val="00E86CE4"/>
    <w:rsid w:val="00E9304C"/>
    <w:rsid w:val="00E93ED1"/>
    <w:rsid w:val="00E9426C"/>
    <w:rsid w:val="00E948E4"/>
    <w:rsid w:val="00E94A57"/>
    <w:rsid w:val="00E94B02"/>
    <w:rsid w:val="00E9508A"/>
    <w:rsid w:val="00E95268"/>
    <w:rsid w:val="00E95ECB"/>
    <w:rsid w:val="00E97346"/>
    <w:rsid w:val="00EA2D62"/>
    <w:rsid w:val="00EA4B86"/>
    <w:rsid w:val="00EA502F"/>
    <w:rsid w:val="00EA70DE"/>
    <w:rsid w:val="00EA73C7"/>
    <w:rsid w:val="00EB2593"/>
    <w:rsid w:val="00EB2F2C"/>
    <w:rsid w:val="00EC02A3"/>
    <w:rsid w:val="00EC0E81"/>
    <w:rsid w:val="00EC1C7D"/>
    <w:rsid w:val="00EC36A2"/>
    <w:rsid w:val="00EC505F"/>
    <w:rsid w:val="00EC5B45"/>
    <w:rsid w:val="00ED183F"/>
    <w:rsid w:val="00ED19BC"/>
    <w:rsid w:val="00ED2483"/>
    <w:rsid w:val="00ED3427"/>
    <w:rsid w:val="00ED4E3E"/>
    <w:rsid w:val="00ED56D0"/>
    <w:rsid w:val="00ED61D0"/>
    <w:rsid w:val="00ED70FC"/>
    <w:rsid w:val="00ED7382"/>
    <w:rsid w:val="00ED74AD"/>
    <w:rsid w:val="00EE07A4"/>
    <w:rsid w:val="00EE2B32"/>
    <w:rsid w:val="00EE390F"/>
    <w:rsid w:val="00EE3D2C"/>
    <w:rsid w:val="00EE42FC"/>
    <w:rsid w:val="00EE45F0"/>
    <w:rsid w:val="00EE48C9"/>
    <w:rsid w:val="00EE587A"/>
    <w:rsid w:val="00EE5E58"/>
    <w:rsid w:val="00EE6AB4"/>
    <w:rsid w:val="00EE76D3"/>
    <w:rsid w:val="00EE7FBA"/>
    <w:rsid w:val="00EF0200"/>
    <w:rsid w:val="00EF06FC"/>
    <w:rsid w:val="00EF15E8"/>
    <w:rsid w:val="00EF2043"/>
    <w:rsid w:val="00EF43E7"/>
    <w:rsid w:val="00EF5511"/>
    <w:rsid w:val="00EF5857"/>
    <w:rsid w:val="00EF58E9"/>
    <w:rsid w:val="00F0201B"/>
    <w:rsid w:val="00F02DBC"/>
    <w:rsid w:val="00F04144"/>
    <w:rsid w:val="00F06FE8"/>
    <w:rsid w:val="00F077B9"/>
    <w:rsid w:val="00F1311C"/>
    <w:rsid w:val="00F158F2"/>
    <w:rsid w:val="00F16A16"/>
    <w:rsid w:val="00F16AC8"/>
    <w:rsid w:val="00F174B9"/>
    <w:rsid w:val="00F2055C"/>
    <w:rsid w:val="00F20F88"/>
    <w:rsid w:val="00F233E3"/>
    <w:rsid w:val="00F2377A"/>
    <w:rsid w:val="00F30A0C"/>
    <w:rsid w:val="00F30F5C"/>
    <w:rsid w:val="00F32564"/>
    <w:rsid w:val="00F32E49"/>
    <w:rsid w:val="00F33460"/>
    <w:rsid w:val="00F33C53"/>
    <w:rsid w:val="00F33DAE"/>
    <w:rsid w:val="00F340BD"/>
    <w:rsid w:val="00F3423A"/>
    <w:rsid w:val="00F34241"/>
    <w:rsid w:val="00F34FCC"/>
    <w:rsid w:val="00F3519C"/>
    <w:rsid w:val="00F35A6D"/>
    <w:rsid w:val="00F36C90"/>
    <w:rsid w:val="00F3783B"/>
    <w:rsid w:val="00F37D61"/>
    <w:rsid w:val="00F37F10"/>
    <w:rsid w:val="00F413B3"/>
    <w:rsid w:val="00F4282D"/>
    <w:rsid w:val="00F45D85"/>
    <w:rsid w:val="00F47694"/>
    <w:rsid w:val="00F4772F"/>
    <w:rsid w:val="00F47B71"/>
    <w:rsid w:val="00F558DD"/>
    <w:rsid w:val="00F57CB8"/>
    <w:rsid w:val="00F6087C"/>
    <w:rsid w:val="00F61841"/>
    <w:rsid w:val="00F6236C"/>
    <w:rsid w:val="00F627AD"/>
    <w:rsid w:val="00F63F3D"/>
    <w:rsid w:val="00F662BF"/>
    <w:rsid w:val="00F70A03"/>
    <w:rsid w:val="00F71898"/>
    <w:rsid w:val="00F730C6"/>
    <w:rsid w:val="00F73C9A"/>
    <w:rsid w:val="00F73F2A"/>
    <w:rsid w:val="00F74A21"/>
    <w:rsid w:val="00F7785C"/>
    <w:rsid w:val="00F8149F"/>
    <w:rsid w:val="00F82AB8"/>
    <w:rsid w:val="00F832F6"/>
    <w:rsid w:val="00F846D6"/>
    <w:rsid w:val="00F8521A"/>
    <w:rsid w:val="00F85DA1"/>
    <w:rsid w:val="00F87322"/>
    <w:rsid w:val="00F910E1"/>
    <w:rsid w:val="00F91420"/>
    <w:rsid w:val="00F93964"/>
    <w:rsid w:val="00F97116"/>
    <w:rsid w:val="00F9748B"/>
    <w:rsid w:val="00FA068A"/>
    <w:rsid w:val="00FA0B3F"/>
    <w:rsid w:val="00FA0E16"/>
    <w:rsid w:val="00FA41C1"/>
    <w:rsid w:val="00FA4B79"/>
    <w:rsid w:val="00FA78F9"/>
    <w:rsid w:val="00FA7DD8"/>
    <w:rsid w:val="00FB0008"/>
    <w:rsid w:val="00FB4301"/>
    <w:rsid w:val="00FC2367"/>
    <w:rsid w:val="00FC3DC7"/>
    <w:rsid w:val="00FC3F6A"/>
    <w:rsid w:val="00FC44FF"/>
    <w:rsid w:val="00FD0AB7"/>
    <w:rsid w:val="00FD327B"/>
    <w:rsid w:val="00FD4178"/>
    <w:rsid w:val="00FD433D"/>
    <w:rsid w:val="00FD6225"/>
    <w:rsid w:val="00FD75A1"/>
    <w:rsid w:val="00FD7A91"/>
    <w:rsid w:val="00FE006D"/>
    <w:rsid w:val="00FE133D"/>
    <w:rsid w:val="00FE3147"/>
    <w:rsid w:val="00FE3E87"/>
    <w:rsid w:val="00FE4256"/>
    <w:rsid w:val="00FE4BFE"/>
    <w:rsid w:val="00FE5097"/>
    <w:rsid w:val="00FE51AF"/>
    <w:rsid w:val="00FE5360"/>
    <w:rsid w:val="00FE7EEC"/>
    <w:rsid w:val="00FF2D07"/>
    <w:rsid w:val="00FF4232"/>
    <w:rsid w:val="00FF42FC"/>
    <w:rsid w:val="00FF44A8"/>
    <w:rsid w:val="00FF45A4"/>
    <w:rsid w:val="00FF56E4"/>
    <w:rsid w:val="00FF7CDF"/>
    <w:rsid w:val="00FF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AF"/>
  </w:style>
  <w:style w:type="paragraph" w:styleId="Ttulo1">
    <w:name w:val="heading 1"/>
    <w:basedOn w:val="Normal"/>
    <w:next w:val="Normal"/>
    <w:link w:val="Ttulo1Char"/>
    <w:uiPriority w:val="99"/>
    <w:qFormat/>
    <w:rsid w:val="005B14AF"/>
    <w:pPr>
      <w:keepNext/>
      <w:pBdr>
        <w:top w:val="single" w:sz="6" w:space="1" w:color="auto"/>
      </w:pBdr>
      <w:ind w:left="-108" w:right="-108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14AF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5B14AF"/>
    <w:pPr>
      <w:keepNext/>
      <w:jc w:val="center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5B14AF"/>
    <w:pPr>
      <w:keepNext/>
      <w:jc w:val="center"/>
      <w:outlineLvl w:val="3"/>
    </w:pPr>
    <w:rPr>
      <w:b/>
      <w:bCs/>
      <w:color w:val="00000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5B14AF"/>
    <w:pPr>
      <w:keepNext/>
      <w:ind w:right="-108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5B14AF"/>
    <w:pPr>
      <w:keepNext/>
      <w:ind w:left="-108" w:right="-108"/>
      <w:jc w:val="center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5B14AF"/>
    <w:pPr>
      <w:keepNext/>
      <w:jc w:val="center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5B14AF"/>
    <w:pPr>
      <w:keepNext/>
      <w:ind w:firstLine="214"/>
      <w:jc w:val="both"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5B14AF"/>
    <w:pPr>
      <w:keepNext/>
      <w:ind w:firstLine="720"/>
      <w:jc w:val="center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25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2725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2725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725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725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7258E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27258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7258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7258E"/>
    <w:rPr>
      <w:rFonts w:ascii="Cambria" w:eastAsia="Times New Roman" w:hAnsi="Cambria" w:cs="Times New Roman"/>
    </w:rPr>
  </w:style>
  <w:style w:type="paragraph" w:styleId="NormalWeb">
    <w:name w:val="Normal (Web)"/>
    <w:basedOn w:val="Normal"/>
    <w:uiPriority w:val="99"/>
    <w:rsid w:val="005B14AF"/>
    <w:pPr>
      <w:ind w:firstLine="781"/>
      <w:jc w:val="both"/>
    </w:pPr>
    <w:rPr>
      <w:rFonts w:ascii="Verdana" w:hAnsi="Verdana" w:cs="Verdana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B14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ind w:right="-108"/>
      <w:jc w:val="center"/>
    </w:pPr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semiHidden/>
    <w:rsid w:val="0027258E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5B14AF"/>
    <w:pPr>
      <w:jc w:val="both"/>
    </w:pPr>
    <w:rPr>
      <w:b/>
      <w:bCs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27258E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5B14AF"/>
    <w:pPr>
      <w:ind w:firstLine="709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DE5368"/>
    <w:rPr>
      <w:sz w:val="24"/>
      <w:szCs w:val="24"/>
    </w:rPr>
  </w:style>
  <w:style w:type="paragraph" w:customStyle="1" w:styleId="BNDES">
    <w:name w:val="BNDES"/>
    <w:rsid w:val="005B14AF"/>
    <w:pPr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B14AF"/>
    <w:pPr>
      <w:widowControl w:val="0"/>
      <w:ind w:firstLine="709"/>
      <w:jc w:val="both"/>
    </w:pPr>
    <w:rPr>
      <w:rFonts w:ascii="Verdana" w:hAnsi="Verdana" w:cs="Verdana"/>
      <w:color w:val="000000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27258E"/>
    <w:rPr>
      <w:sz w:val="20"/>
      <w:szCs w:val="20"/>
    </w:rPr>
  </w:style>
  <w:style w:type="character" w:customStyle="1" w:styleId="article">
    <w:name w:val="article"/>
    <w:uiPriority w:val="99"/>
    <w:rsid w:val="005B14AF"/>
    <w:rPr>
      <w:rFonts w:ascii="Arial" w:hAnsi="Arial" w:cs="Arial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rsid w:val="005B14AF"/>
    <w:pPr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uiPriority w:val="99"/>
    <w:semiHidden/>
    <w:rsid w:val="0027258E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5B14AF"/>
    <w:pPr>
      <w:ind w:firstLine="498"/>
      <w:jc w:val="both"/>
    </w:pPr>
    <w:rPr>
      <w:color w:val="000000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27258E"/>
    <w:rPr>
      <w:sz w:val="20"/>
      <w:szCs w:val="20"/>
    </w:rPr>
  </w:style>
  <w:style w:type="character" w:styleId="Forte">
    <w:name w:val="Strong"/>
    <w:uiPriority w:val="22"/>
    <w:qFormat/>
    <w:rsid w:val="005B14AF"/>
    <w:rPr>
      <w:b/>
      <w:bCs/>
    </w:rPr>
  </w:style>
  <w:style w:type="paragraph" w:styleId="Textoembloco">
    <w:name w:val="Block Text"/>
    <w:basedOn w:val="Normal"/>
    <w:uiPriority w:val="99"/>
    <w:rsid w:val="005B14AF"/>
    <w:pPr>
      <w:pBdr>
        <w:bottom w:val="single" w:sz="4" w:space="1" w:color="auto"/>
      </w:pBdr>
      <w:shd w:val="clear" w:color="auto" w:fill="C0C0C0"/>
      <w:ind w:left="-108" w:right="-108"/>
      <w:jc w:val="center"/>
    </w:pPr>
    <w:rPr>
      <w:rFonts w:ascii="Verdana" w:hAnsi="Verdana" w:cs="Verdana"/>
      <w:b/>
      <w:bCs/>
      <w:color w:val="000000"/>
    </w:rPr>
  </w:style>
  <w:style w:type="character" w:styleId="nfase">
    <w:name w:val="Emphasis"/>
    <w:uiPriority w:val="99"/>
    <w:qFormat/>
    <w:rsid w:val="005B14AF"/>
    <w:rPr>
      <w:i/>
      <w:iCs/>
    </w:rPr>
  </w:style>
  <w:style w:type="character" w:customStyle="1" w:styleId="intdetalhe1">
    <w:name w:val="intdetalhe1"/>
    <w:uiPriority w:val="99"/>
    <w:rsid w:val="005B14AF"/>
    <w:rPr>
      <w:rFonts w:ascii="Arial" w:hAnsi="Arial" w:cs="Arial"/>
      <w:color w:val="FF0000"/>
      <w:sz w:val="15"/>
      <w:szCs w:val="15"/>
    </w:rPr>
  </w:style>
  <w:style w:type="character" w:customStyle="1" w:styleId="textonorma21">
    <w:name w:val="textonorma21"/>
    <w:uiPriority w:val="99"/>
    <w:rsid w:val="005B14AF"/>
    <w:rPr>
      <w:rFonts w:ascii="Verdana" w:hAnsi="Verdana" w:cs="Verdana"/>
      <w:sz w:val="16"/>
      <w:szCs w:val="16"/>
    </w:rPr>
  </w:style>
  <w:style w:type="paragraph" w:customStyle="1" w:styleId="texto">
    <w:name w:val="texto"/>
    <w:basedOn w:val="Normal"/>
    <w:uiPriority w:val="99"/>
    <w:rsid w:val="005B14AF"/>
    <w:pPr>
      <w:spacing w:before="100" w:beforeAutospacing="1" w:after="100" w:afterAutospacing="1" w:line="270" w:lineRule="atLeast"/>
    </w:pPr>
    <w:rPr>
      <w:rFonts w:ascii="Verdana" w:hAnsi="Verdana" w:cs="Verdana"/>
      <w:color w:val="000000"/>
      <w:sz w:val="17"/>
      <w:szCs w:val="17"/>
    </w:rPr>
  </w:style>
  <w:style w:type="paragraph" w:styleId="Rodap">
    <w:name w:val="footer"/>
    <w:basedOn w:val="Normal"/>
    <w:link w:val="RodapChar"/>
    <w:uiPriority w:val="99"/>
    <w:rsid w:val="005B14AF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RodapChar">
    <w:name w:val="Rodapé Char"/>
    <w:link w:val="Rodap"/>
    <w:uiPriority w:val="99"/>
    <w:semiHidden/>
    <w:rsid w:val="0027258E"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5B14AF"/>
    <w:pPr>
      <w:widowControl w:val="0"/>
    </w:pPr>
    <w:rPr>
      <w:sz w:val="24"/>
      <w:szCs w:val="24"/>
    </w:rPr>
  </w:style>
  <w:style w:type="character" w:customStyle="1" w:styleId="lista1">
    <w:name w:val="lista1"/>
    <w:uiPriority w:val="99"/>
    <w:rsid w:val="005B14AF"/>
    <w:rPr>
      <w:rFonts w:ascii="Verdana" w:hAnsi="Verdana" w:cs="Verdana"/>
    </w:rPr>
  </w:style>
  <w:style w:type="paragraph" w:customStyle="1" w:styleId="xl24">
    <w:name w:val="xl24"/>
    <w:basedOn w:val="Normal"/>
    <w:uiPriority w:val="99"/>
    <w:rsid w:val="005B14AF"/>
    <w:pPr>
      <w:spacing w:before="100" w:after="100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uiPriority w:val="99"/>
    <w:rsid w:val="005B14AF"/>
    <w:pPr>
      <w:widowControl w:val="0"/>
      <w:spacing w:after="120" w:line="360" w:lineRule="auto"/>
      <w:ind w:firstLine="709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uiPriority w:val="99"/>
    <w:rsid w:val="005B14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27258E"/>
    <w:rPr>
      <w:sz w:val="20"/>
      <w:szCs w:val="20"/>
    </w:rPr>
  </w:style>
  <w:style w:type="paragraph" w:customStyle="1" w:styleId="xl25">
    <w:name w:val="xl25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6">
    <w:name w:val="xl26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7">
    <w:name w:val="xl27"/>
    <w:basedOn w:val="Normal"/>
    <w:uiPriority w:val="99"/>
    <w:rsid w:val="005B14A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8">
    <w:name w:val="xl28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9">
    <w:name w:val="xl29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0">
    <w:name w:val="xl30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1">
    <w:name w:val="xl31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2">
    <w:name w:val="xl32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color w:val="000080"/>
      <w:sz w:val="28"/>
      <w:szCs w:val="28"/>
    </w:rPr>
  </w:style>
  <w:style w:type="paragraph" w:customStyle="1" w:styleId="xl33">
    <w:name w:val="xl33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color w:val="000080"/>
      <w:sz w:val="28"/>
      <w:szCs w:val="28"/>
    </w:rPr>
  </w:style>
  <w:style w:type="paragraph" w:customStyle="1" w:styleId="xl34">
    <w:name w:val="xl34"/>
    <w:basedOn w:val="Normal"/>
    <w:uiPriority w:val="99"/>
    <w:rsid w:val="005B14AF"/>
    <w:pPr>
      <w:pBdr>
        <w:bottom w:val="double" w:sz="6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5">
    <w:name w:val="xl35"/>
    <w:basedOn w:val="Normal"/>
    <w:uiPriority w:val="99"/>
    <w:rsid w:val="005B14AF"/>
    <w:pPr>
      <w:pBdr>
        <w:bottom w:val="doub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6">
    <w:name w:val="xl36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8"/>
      <w:szCs w:val="28"/>
    </w:rPr>
  </w:style>
  <w:style w:type="paragraph" w:customStyle="1" w:styleId="xl37">
    <w:name w:val="xl37"/>
    <w:basedOn w:val="Normal"/>
    <w:uiPriority w:val="99"/>
    <w:rsid w:val="005B14AF"/>
    <w:pPr>
      <w:spacing w:before="100" w:beforeAutospacing="1" w:after="100" w:afterAutospacing="1"/>
    </w:pPr>
    <w:rPr>
      <w:b/>
      <w:bCs/>
      <w:color w:val="FF0000"/>
      <w:sz w:val="38"/>
      <w:szCs w:val="38"/>
    </w:rPr>
  </w:style>
  <w:style w:type="paragraph" w:customStyle="1" w:styleId="xl38">
    <w:name w:val="xl38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9">
    <w:name w:val="xl39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0">
    <w:name w:val="xl40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8"/>
      <w:szCs w:val="28"/>
    </w:rPr>
  </w:style>
  <w:style w:type="paragraph" w:customStyle="1" w:styleId="xl41">
    <w:name w:val="xl41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99"/>
      <w:sz w:val="28"/>
      <w:szCs w:val="28"/>
    </w:rPr>
  </w:style>
  <w:style w:type="paragraph" w:customStyle="1" w:styleId="xl42">
    <w:name w:val="xl42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333399"/>
      <w:sz w:val="28"/>
      <w:szCs w:val="28"/>
    </w:rPr>
  </w:style>
  <w:style w:type="paragraph" w:customStyle="1" w:styleId="xl43">
    <w:name w:val="xl43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333399"/>
      <w:sz w:val="28"/>
      <w:szCs w:val="28"/>
    </w:rPr>
  </w:style>
  <w:style w:type="paragraph" w:customStyle="1" w:styleId="xl44">
    <w:name w:val="xl44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99"/>
      <w:sz w:val="28"/>
      <w:szCs w:val="28"/>
    </w:rPr>
  </w:style>
  <w:style w:type="paragraph" w:customStyle="1" w:styleId="xl45">
    <w:name w:val="xl45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color w:val="000080"/>
      <w:sz w:val="28"/>
      <w:szCs w:val="28"/>
    </w:rPr>
  </w:style>
  <w:style w:type="paragraph" w:customStyle="1" w:styleId="xl46">
    <w:name w:val="xl46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7">
    <w:name w:val="xl47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8">
    <w:name w:val="xl48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 Unicode MS" w:hAnsi="Arial Unicode MS" w:cs="Arial Unicode MS"/>
      <w:color w:val="333399"/>
      <w:sz w:val="28"/>
      <w:szCs w:val="28"/>
    </w:rPr>
  </w:style>
  <w:style w:type="paragraph" w:customStyle="1" w:styleId="xl49">
    <w:name w:val="xl49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color w:val="333399"/>
      <w:sz w:val="28"/>
      <w:szCs w:val="28"/>
    </w:rPr>
  </w:style>
  <w:style w:type="paragraph" w:customStyle="1" w:styleId="xl50">
    <w:name w:val="xl50"/>
    <w:basedOn w:val="Normal"/>
    <w:uiPriority w:val="99"/>
    <w:rsid w:val="005B14A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8"/>
      <w:szCs w:val="28"/>
    </w:rPr>
  </w:style>
  <w:style w:type="paragraph" w:customStyle="1" w:styleId="xl51">
    <w:name w:val="xl51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52">
    <w:name w:val="xl52"/>
    <w:basedOn w:val="Normal"/>
    <w:uiPriority w:val="99"/>
    <w:rsid w:val="005B14AF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53">
    <w:name w:val="xl53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24"/>
      <w:szCs w:val="24"/>
    </w:rPr>
  </w:style>
  <w:style w:type="paragraph" w:customStyle="1" w:styleId="xl54">
    <w:name w:val="xl54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uiPriority w:val="99"/>
    <w:rsid w:val="005B14A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uiPriority w:val="99"/>
    <w:rsid w:val="005B14A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0080"/>
      <w:sz w:val="28"/>
      <w:szCs w:val="28"/>
    </w:rPr>
  </w:style>
  <w:style w:type="paragraph" w:customStyle="1" w:styleId="xl59">
    <w:name w:val="xl59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60">
    <w:name w:val="xl60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UniversalLight" w:hAnsi="UniversalLight" w:cs="UniversalLight"/>
      <w:b/>
      <w:bCs/>
      <w:color w:val="FF0000"/>
      <w:sz w:val="28"/>
      <w:szCs w:val="28"/>
    </w:rPr>
  </w:style>
  <w:style w:type="paragraph" w:customStyle="1" w:styleId="xl61">
    <w:name w:val="xl61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UniversalLight" w:hAnsi="UniversalLight" w:cs="UniversalLight"/>
      <w:b/>
      <w:bCs/>
      <w:color w:val="FF0000"/>
      <w:sz w:val="36"/>
      <w:szCs w:val="36"/>
    </w:rPr>
  </w:style>
  <w:style w:type="paragraph" w:customStyle="1" w:styleId="xl62">
    <w:name w:val="xl62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6"/>
      <w:szCs w:val="36"/>
    </w:rPr>
  </w:style>
  <w:style w:type="paragraph" w:customStyle="1" w:styleId="xl63">
    <w:name w:val="xl63"/>
    <w:basedOn w:val="Normal"/>
    <w:uiPriority w:val="99"/>
    <w:rsid w:val="005B14A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64">
    <w:name w:val="xl64"/>
    <w:basedOn w:val="Normal"/>
    <w:uiPriority w:val="99"/>
    <w:rsid w:val="005B14A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rsid w:val="005B14AF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27258E"/>
    <w:rPr>
      <w:sz w:val="0"/>
      <w:szCs w:val="0"/>
    </w:rPr>
  </w:style>
  <w:style w:type="character" w:styleId="Nmerodepgina">
    <w:name w:val="page number"/>
    <w:basedOn w:val="Fontepargpadro"/>
    <w:uiPriority w:val="99"/>
    <w:rsid w:val="005B14AF"/>
  </w:style>
  <w:style w:type="paragraph" w:customStyle="1" w:styleId="conteudomatcateg">
    <w:name w:val="conteudo_mat_categ"/>
    <w:basedOn w:val="Normal"/>
    <w:uiPriority w:val="99"/>
    <w:rsid w:val="0068613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4C0E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C0E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73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AF"/>
  </w:style>
  <w:style w:type="paragraph" w:styleId="Ttulo1">
    <w:name w:val="heading 1"/>
    <w:basedOn w:val="Normal"/>
    <w:next w:val="Normal"/>
    <w:link w:val="Ttulo1Char"/>
    <w:uiPriority w:val="99"/>
    <w:qFormat/>
    <w:rsid w:val="005B14AF"/>
    <w:pPr>
      <w:keepNext/>
      <w:pBdr>
        <w:top w:val="single" w:sz="6" w:space="1" w:color="auto"/>
      </w:pBdr>
      <w:ind w:left="-108" w:right="-108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5B14AF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rsid w:val="005B14AF"/>
    <w:pPr>
      <w:keepNext/>
      <w:jc w:val="center"/>
      <w:outlineLvl w:val="2"/>
    </w:pPr>
    <w:rPr>
      <w:b/>
      <w:bCs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5B14AF"/>
    <w:pPr>
      <w:keepNext/>
      <w:jc w:val="center"/>
      <w:outlineLvl w:val="3"/>
    </w:pPr>
    <w:rPr>
      <w:b/>
      <w:bCs/>
      <w:color w:val="00000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5B14AF"/>
    <w:pPr>
      <w:keepNext/>
      <w:ind w:right="-108"/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5B14AF"/>
    <w:pPr>
      <w:keepNext/>
      <w:ind w:left="-108" w:right="-108"/>
      <w:jc w:val="center"/>
      <w:outlineLvl w:val="5"/>
    </w:pPr>
    <w:rPr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5B14AF"/>
    <w:pPr>
      <w:keepNext/>
      <w:jc w:val="center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link w:val="Ttulo8Char"/>
    <w:uiPriority w:val="99"/>
    <w:qFormat/>
    <w:rsid w:val="005B14AF"/>
    <w:pPr>
      <w:keepNext/>
      <w:ind w:firstLine="214"/>
      <w:jc w:val="both"/>
      <w:outlineLvl w:val="7"/>
    </w:pPr>
    <w:rPr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5B14AF"/>
    <w:pPr>
      <w:keepNext/>
      <w:ind w:firstLine="720"/>
      <w:jc w:val="center"/>
      <w:outlineLvl w:val="8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2725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27258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27258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27258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27258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27258E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sid w:val="0027258E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sid w:val="0027258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sid w:val="0027258E"/>
    <w:rPr>
      <w:rFonts w:ascii="Cambria" w:eastAsia="Times New Roman" w:hAnsi="Cambria" w:cs="Times New Roman"/>
    </w:rPr>
  </w:style>
  <w:style w:type="paragraph" w:styleId="NormalWeb">
    <w:name w:val="Normal (Web)"/>
    <w:basedOn w:val="Normal"/>
    <w:uiPriority w:val="99"/>
    <w:rsid w:val="005B14AF"/>
    <w:pPr>
      <w:ind w:firstLine="781"/>
      <w:jc w:val="both"/>
    </w:pPr>
    <w:rPr>
      <w:rFonts w:ascii="Verdana" w:hAnsi="Verdana" w:cs="Verdana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5B14A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ind w:right="-108"/>
      <w:jc w:val="center"/>
    </w:pPr>
    <w:rPr>
      <w:b/>
      <w:bCs/>
    </w:rPr>
  </w:style>
  <w:style w:type="character" w:customStyle="1" w:styleId="RecuodecorpodetextoChar">
    <w:name w:val="Recuo de corpo de texto Char"/>
    <w:link w:val="Recuodecorpodetexto"/>
    <w:uiPriority w:val="99"/>
    <w:semiHidden/>
    <w:rsid w:val="0027258E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5B14AF"/>
    <w:pPr>
      <w:jc w:val="both"/>
    </w:pPr>
    <w:rPr>
      <w:b/>
      <w:bCs/>
      <w:sz w:val="22"/>
      <w:szCs w:val="22"/>
    </w:rPr>
  </w:style>
  <w:style w:type="character" w:customStyle="1" w:styleId="Corpodetexto3Char">
    <w:name w:val="Corpo de texto 3 Char"/>
    <w:link w:val="Corpodetexto3"/>
    <w:uiPriority w:val="99"/>
    <w:semiHidden/>
    <w:rsid w:val="0027258E"/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uiPriority w:val="99"/>
    <w:rsid w:val="005B14AF"/>
    <w:pPr>
      <w:ind w:firstLine="709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link w:val="Recuodecorpodetexto3"/>
    <w:uiPriority w:val="99"/>
    <w:locked/>
    <w:rsid w:val="00DE5368"/>
    <w:rPr>
      <w:sz w:val="24"/>
      <w:szCs w:val="24"/>
    </w:rPr>
  </w:style>
  <w:style w:type="paragraph" w:customStyle="1" w:styleId="BNDES">
    <w:name w:val="BNDES"/>
    <w:rsid w:val="005B14AF"/>
    <w:pPr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B14AF"/>
    <w:pPr>
      <w:widowControl w:val="0"/>
      <w:ind w:firstLine="709"/>
      <w:jc w:val="both"/>
    </w:pPr>
    <w:rPr>
      <w:rFonts w:ascii="Verdana" w:hAnsi="Verdana" w:cs="Verdana"/>
      <w:color w:val="000000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rsid w:val="0027258E"/>
    <w:rPr>
      <w:sz w:val="20"/>
      <w:szCs w:val="20"/>
    </w:rPr>
  </w:style>
  <w:style w:type="character" w:customStyle="1" w:styleId="article">
    <w:name w:val="article"/>
    <w:uiPriority w:val="99"/>
    <w:rsid w:val="005B14AF"/>
    <w:rPr>
      <w:rFonts w:ascii="Arial" w:hAnsi="Arial" w:cs="Arial"/>
      <w:sz w:val="18"/>
      <w:szCs w:val="18"/>
    </w:rPr>
  </w:style>
  <w:style w:type="paragraph" w:styleId="Corpodetexto2">
    <w:name w:val="Body Text 2"/>
    <w:basedOn w:val="Normal"/>
    <w:link w:val="Corpodetexto2Char"/>
    <w:uiPriority w:val="99"/>
    <w:rsid w:val="005B14AF"/>
    <w:pPr>
      <w:jc w:val="both"/>
    </w:pPr>
    <w:rPr>
      <w:rFonts w:ascii="Arial" w:hAnsi="Arial" w:cs="Arial"/>
    </w:rPr>
  </w:style>
  <w:style w:type="character" w:customStyle="1" w:styleId="Corpodetexto2Char">
    <w:name w:val="Corpo de texto 2 Char"/>
    <w:link w:val="Corpodetexto2"/>
    <w:uiPriority w:val="99"/>
    <w:semiHidden/>
    <w:rsid w:val="0027258E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5B14AF"/>
    <w:pPr>
      <w:ind w:firstLine="498"/>
      <w:jc w:val="both"/>
    </w:pPr>
    <w:rPr>
      <w:color w:val="000000"/>
      <w:sz w:val="24"/>
      <w:szCs w:val="24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27258E"/>
    <w:rPr>
      <w:sz w:val="20"/>
      <w:szCs w:val="20"/>
    </w:rPr>
  </w:style>
  <w:style w:type="character" w:styleId="Forte">
    <w:name w:val="Strong"/>
    <w:uiPriority w:val="22"/>
    <w:qFormat/>
    <w:rsid w:val="005B14AF"/>
    <w:rPr>
      <w:b/>
      <w:bCs/>
    </w:rPr>
  </w:style>
  <w:style w:type="paragraph" w:styleId="Textoembloco">
    <w:name w:val="Block Text"/>
    <w:basedOn w:val="Normal"/>
    <w:uiPriority w:val="99"/>
    <w:rsid w:val="005B14AF"/>
    <w:pPr>
      <w:pBdr>
        <w:bottom w:val="single" w:sz="4" w:space="1" w:color="auto"/>
      </w:pBdr>
      <w:shd w:val="clear" w:color="auto" w:fill="C0C0C0"/>
      <w:ind w:left="-108" w:right="-108"/>
      <w:jc w:val="center"/>
    </w:pPr>
    <w:rPr>
      <w:rFonts w:ascii="Verdana" w:hAnsi="Verdana" w:cs="Verdana"/>
      <w:b/>
      <w:bCs/>
      <w:color w:val="000000"/>
    </w:rPr>
  </w:style>
  <w:style w:type="character" w:styleId="nfase">
    <w:name w:val="Emphasis"/>
    <w:uiPriority w:val="99"/>
    <w:qFormat/>
    <w:rsid w:val="005B14AF"/>
    <w:rPr>
      <w:i/>
      <w:iCs/>
    </w:rPr>
  </w:style>
  <w:style w:type="character" w:customStyle="1" w:styleId="intdetalhe1">
    <w:name w:val="intdetalhe1"/>
    <w:uiPriority w:val="99"/>
    <w:rsid w:val="005B14AF"/>
    <w:rPr>
      <w:rFonts w:ascii="Arial" w:hAnsi="Arial" w:cs="Arial"/>
      <w:color w:val="FF0000"/>
      <w:sz w:val="15"/>
      <w:szCs w:val="15"/>
    </w:rPr>
  </w:style>
  <w:style w:type="character" w:customStyle="1" w:styleId="textonorma21">
    <w:name w:val="textonorma21"/>
    <w:uiPriority w:val="99"/>
    <w:rsid w:val="005B14AF"/>
    <w:rPr>
      <w:rFonts w:ascii="Verdana" w:hAnsi="Verdana" w:cs="Verdana"/>
      <w:sz w:val="16"/>
      <w:szCs w:val="16"/>
    </w:rPr>
  </w:style>
  <w:style w:type="paragraph" w:customStyle="1" w:styleId="texto">
    <w:name w:val="texto"/>
    <w:basedOn w:val="Normal"/>
    <w:uiPriority w:val="99"/>
    <w:rsid w:val="005B14AF"/>
    <w:pPr>
      <w:spacing w:before="100" w:beforeAutospacing="1" w:after="100" w:afterAutospacing="1" w:line="270" w:lineRule="atLeast"/>
    </w:pPr>
    <w:rPr>
      <w:rFonts w:ascii="Verdana" w:hAnsi="Verdana" w:cs="Verdana"/>
      <w:color w:val="000000"/>
      <w:sz w:val="17"/>
      <w:szCs w:val="17"/>
    </w:rPr>
  </w:style>
  <w:style w:type="paragraph" w:styleId="Rodap">
    <w:name w:val="footer"/>
    <w:basedOn w:val="Normal"/>
    <w:link w:val="RodapChar"/>
    <w:uiPriority w:val="99"/>
    <w:rsid w:val="005B14AF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RodapChar">
    <w:name w:val="Rodapé Char"/>
    <w:link w:val="Rodap"/>
    <w:uiPriority w:val="99"/>
    <w:semiHidden/>
    <w:rsid w:val="0027258E"/>
    <w:rPr>
      <w:sz w:val="20"/>
      <w:szCs w:val="20"/>
    </w:rPr>
  </w:style>
  <w:style w:type="paragraph" w:styleId="Legenda">
    <w:name w:val="caption"/>
    <w:basedOn w:val="Normal"/>
    <w:next w:val="Normal"/>
    <w:uiPriority w:val="99"/>
    <w:qFormat/>
    <w:rsid w:val="005B14AF"/>
    <w:pPr>
      <w:widowControl w:val="0"/>
    </w:pPr>
    <w:rPr>
      <w:sz w:val="24"/>
      <w:szCs w:val="24"/>
    </w:rPr>
  </w:style>
  <w:style w:type="character" w:customStyle="1" w:styleId="lista1">
    <w:name w:val="lista1"/>
    <w:uiPriority w:val="99"/>
    <w:rsid w:val="005B14AF"/>
    <w:rPr>
      <w:rFonts w:ascii="Verdana" w:hAnsi="Verdana" w:cs="Verdana"/>
    </w:rPr>
  </w:style>
  <w:style w:type="paragraph" w:customStyle="1" w:styleId="xl24">
    <w:name w:val="xl24"/>
    <w:basedOn w:val="Normal"/>
    <w:uiPriority w:val="99"/>
    <w:rsid w:val="005B14AF"/>
    <w:pPr>
      <w:spacing w:before="100" w:after="100"/>
    </w:pPr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uiPriority w:val="99"/>
    <w:rsid w:val="005B14AF"/>
    <w:pPr>
      <w:widowControl w:val="0"/>
      <w:spacing w:after="120" w:line="360" w:lineRule="auto"/>
      <w:ind w:firstLine="709"/>
      <w:jc w:val="both"/>
    </w:pPr>
    <w:rPr>
      <w:rFonts w:ascii="Courier New" w:hAnsi="Courier New" w:cs="Courier New"/>
    </w:rPr>
  </w:style>
  <w:style w:type="paragraph" w:styleId="Cabealho">
    <w:name w:val="header"/>
    <w:basedOn w:val="Normal"/>
    <w:link w:val="CabealhoChar"/>
    <w:uiPriority w:val="99"/>
    <w:rsid w:val="005B14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sid w:val="0027258E"/>
    <w:rPr>
      <w:sz w:val="20"/>
      <w:szCs w:val="20"/>
    </w:rPr>
  </w:style>
  <w:style w:type="paragraph" w:customStyle="1" w:styleId="xl25">
    <w:name w:val="xl25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6">
    <w:name w:val="xl26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7">
    <w:name w:val="xl27"/>
    <w:basedOn w:val="Normal"/>
    <w:uiPriority w:val="99"/>
    <w:rsid w:val="005B14AF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8">
    <w:name w:val="xl28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29">
    <w:name w:val="xl29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0">
    <w:name w:val="xl30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1">
    <w:name w:val="xl31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2">
    <w:name w:val="xl32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color w:val="000080"/>
      <w:sz w:val="28"/>
      <w:szCs w:val="28"/>
    </w:rPr>
  </w:style>
  <w:style w:type="paragraph" w:customStyle="1" w:styleId="xl33">
    <w:name w:val="xl33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color w:val="000080"/>
      <w:sz w:val="28"/>
      <w:szCs w:val="28"/>
    </w:rPr>
  </w:style>
  <w:style w:type="paragraph" w:customStyle="1" w:styleId="xl34">
    <w:name w:val="xl34"/>
    <w:basedOn w:val="Normal"/>
    <w:uiPriority w:val="99"/>
    <w:rsid w:val="005B14AF"/>
    <w:pPr>
      <w:pBdr>
        <w:bottom w:val="double" w:sz="6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35">
    <w:name w:val="xl35"/>
    <w:basedOn w:val="Normal"/>
    <w:uiPriority w:val="99"/>
    <w:rsid w:val="005B14AF"/>
    <w:pPr>
      <w:pBdr>
        <w:bottom w:val="double" w:sz="6" w:space="0" w:color="000000"/>
      </w:pBdr>
      <w:shd w:val="clear" w:color="auto" w:fill="FFFFFF"/>
      <w:spacing w:before="100" w:beforeAutospacing="1" w:after="100" w:afterAutospacing="1"/>
      <w:jc w:val="center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36">
    <w:name w:val="xl36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8"/>
      <w:szCs w:val="28"/>
    </w:rPr>
  </w:style>
  <w:style w:type="paragraph" w:customStyle="1" w:styleId="xl37">
    <w:name w:val="xl37"/>
    <w:basedOn w:val="Normal"/>
    <w:uiPriority w:val="99"/>
    <w:rsid w:val="005B14AF"/>
    <w:pPr>
      <w:spacing w:before="100" w:beforeAutospacing="1" w:after="100" w:afterAutospacing="1"/>
    </w:pPr>
    <w:rPr>
      <w:b/>
      <w:bCs/>
      <w:color w:val="FF0000"/>
      <w:sz w:val="38"/>
      <w:szCs w:val="38"/>
    </w:rPr>
  </w:style>
  <w:style w:type="paragraph" w:customStyle="1" w:styleId="xl38">
    <w:name w:val="xl38"/>
    <w:basedOn w:val="Normal"/>
    <w:uiPriority w:val="99"/>
    <w:rsid w:val="005B14AF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9">
    <w:name w:val="xl39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0">
    <w:name w:val="xl40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sz w:val="28"/>
      <w:szCs w:val="28"/>
    </w:rPr>
  </w:style>
  <w:style w:type="paragraph" w:customStyle="1" w:styleId="xl41">
    <w:name w:val="xl41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99"/>
      <w:sz w:val="28"/>
      <w:szCs w:val="28"/>
    </w:rPr>
  </w:style>
  <w:style w:type="paragraph" w:customStyle="1" w:styleId="xl42">
    <w:name w:val="xl42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333399"/>
      <w:sz w:val="28"/>
      <w:szCs w:val="28"/>
    </w:rPr>
  </w:style>
  <w:style w:type="paragraph" w:customStyle="1" w:styleId="xl43">
    <w:name w:val="xl43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color w:val="333399"/>
      <w:sz w:val="28"/>
      <w:szCs w:val="28"/>
    </w:rPr>
  </w:style>
  <w:style w:type="paragraph" w:customStyle="1" w:styleId="xl44">
    <w:name w:val="xl44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" w:hAnsi="Arial" w:cs="Arial"/>
      <w:b/>
      <w:bCs/>
      <w:color w:val="333399"/>
      <w:sz w:val="28"/>
      <w:szCs w:val="28"/>
    </w:rPr>
  </w:style>
  <w:style w:type="paragraph" w:customStyle="1" w:styleId="xl45">
    <w:name w:val="xl45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color w:val="000080"/>
      <w:sz w:val="28"/>
      <w:szCs w:val="28"/>
    </w:rPr>
  </w:style>
  <w:style w:type="paragraph" w:customStyle="1" w:styleId="xl46">
    <w:name w:val="xl46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7">
    <w:name w:val="xl47"/>
    <w:basedOn w:val="Normal"/>
    <w:uiPriority w:val="99"/>
    <w:rsid w:val="005B14AF"/>
    <w:pP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color w:val="000080"/>
      <w:sz w:val="28"/>
      <w:szCs w:val="28"/>
    </w:rPr>
  </w:style>
  <w:style w:type="paragraph" w:customStyle="1" w:styleId="xl48">
    <w:name w:val="xl48"/>
    <w:basedOn w:val="Normal"/>
    <w:uiPriority w:val="99"/>
    <w:rsid w:val="005B14AF"/>
    <w:pPr>
      <w:spacing w:before="100" w:beforeAutospacing="1" w:after="100" w:afterAutospacing="1"/>
      <w:jc w:val="center"/>
    </w:pPr>
    <w:rPr>
      <w:rFonts w:ascii="Arial Unicode MS" w:hAnsi="Arial Unicode MS" w:cs="Arial Unicode MS"/>
      <w:color w:val="333399"/>
      <w:sz w:val="28"/>
      <w:szCs w:val="28"/>
    </w:rPr>
  </w:style>
  <w:style w:type="paragraph" w:customStyle="1" w:styleId="xl49">
    <w:name w:val="xl49"/>
    <w:basedOn w:val="Normal"/>
    <w:uiPriority w:val="99"/>
    <w:rsid w:val="005B14AF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 Unicode MS" w:hAnsi="Arial Unicode MS" w:cs="Arial Unicode MS"/>
      <w:color w:val="333399"/>
      <w:sz w:val="28"/>
      <w:szCs w:val="28"/>
    </w:rPr>
  </w:style>
  <w:style w:type="paragraph" w:customStyle="1" w:styleId="xl50">
    <w:name w:val="xl50"/>
    <w:basedOn w:val="Normal"/>
    <w:uiPriority w:val="99"/>
    <w:rsid w:val="005B14AF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sz w:val="28"/>
      <w:szCs w:val="28"/>
    </w:rPr>
  </w:style>
  <w:style w:type="paragraph" w:customStyle="1" w:styleId="xl51">
    <w:name w:val="xl51"/>
    <w:basedOn w:val="Normal"/>
    <w:uiPriority w:val="99"/>
    <w:rsid w:val="005B14A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52">
    <w:name w:val="xl52"/>
    <w:basedOn w:val="Normal"/>
    <w:uiPriority w:val="99"/>
    <w:rsid w:val="005B14AF"/>
    <w:pPr>
      <w:pBdr>
        <w:bottom w:val="double" w:sz="6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53">
    <w:name w:val="xl53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000080"/>
      <w:sz w:val="24"/>
      <w:szCs w:val="24"/>
    </w:rPr>
  </w:style>
  <w:style w:type="paragraph" w:customStyle="1" w:styleId="xl54">
    <w:name w:val="xl54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55">
    <w:name w:val="xl55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"/>
    <w:uiPriority w:val="99"/>
    <w:rsid w:val="005B14A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"/>
    <w:uiPriority w:val="99"/>
    <w:rsid w:val="005B14AF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b/>
      <w:bCs/>
      <w:color w:val="000080"/>
      <w:sz w:val="28"/>
      <w:szCs w:val="28"/>
    </w:rPr>
  </w:style>
  <w:style w:type="paragraph" w:customStyle="1" w:styleId="xl59">
    <w:name w:val="xl59"/>
    <w:basedOn w:val="Normal"/>
    <w:uiPriority w:val="99"/>
    <w:rsid w:val="005B14AF"/>
    <w:pPr>
      <w:pBdr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8"/>
      <w:szCs w:val="28"/>
    </w:rPr>
  </w:style>
  <w:style w:type="paragraph" w:customStyle="1" w:styleId="xl60">
    <w:name w:val="xl60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UniversalLight" w:hAnsi="UniversalLight" w:cs="UniversalLight"/>
      <w:b/>
      <w:bCs/>
      <w:color w:val="FF0000"/>
      <w:sz w:val="28"/>
      <w:szCs w:val="28"/>
    </w:rPr>
  </w:style>
  <w:style w:type="paragraph" w:customStyle="1" w:styleId="xl61">
    <w:name w:val="xl61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UniversalLight" w:hAnsi="UniversalLight" w:cs="UniversalLight"/>
      <w:b/>
      <w:bCs/>
      <w:color w:val="FF0000"/>
      <w:sz w:val="36"/>
      <w:szCs w:val="36"/>
    </w:rPr>
  </w:style>
  <w:style w:type="paragraph" w:customStyle="1" w:styleId="xl62">
    <w:name w:val="xl62"/>
    <w:basedOn w:val="Normal"/>
    <w:uiPriority w:val="99"/>
    <w:rsid w:val="005B14AF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36"/>
      <w:szCs w:val="36"/>
    </w:rPr>
  </w:style>
  <w:style w:type="paragraph" w:customStyle="1" w:styleId="xl63">
    <w:name w:val="xl63"/>
    <w:basedOn w:val="Normal"/>
    <w:uiPriority w:val="99"/>
    <w:rsid w:val="005B14AF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customStyle="1" w:styleId="xl64">
    <w:name w:val="xl64"/>
    <w:basedOn w:val="Normal"/>
    <w:uiPriority w:val="99"/>
    <w:rsid w:val="005B14AF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80"/>
      <w:sz w:val="28"/>
      <w:szCs w:val="28"/>
    </w:rPr>
  </w:style>
  <w:style w:type="paragraph" w:styleId="MapadoDocumento">
    <w:name w:val="Document Map"/>
    <w:basedOn w:val="Normal"/>
    <w:link w:val="MapadoDocumentoChar"/>
    <w:uiPriority w:val="99"/>
    <w:semiHidden/>
    <w:rsid w:val="005B14AF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rsid w:val="0027258E"/>
    <w:rPr>
      <w:sz w:val="0"/>
      <w:szCs w:val="0"/>
    </w:rPr>
  </w:style>
  <w:style w:type="character" w:styleId="Nmerodepgina">
    <w:name w:val="page number"/>
    <w:basedOn w:val="Fontepargpadro"/>
    <w:uiPriority w:val="99"/>
    <w:rsid w:val="005B14AF"/>
  </w:style>
  <w:style w:type="paragraph" w:customStyle="1" w:styleId="conteudomatcateg">
    <w:name w:val="conteudo_mat_categ"/>
    <w:basedOn w:val="Normal"/>
    <w:uiPriority w:val="99"/>
    <w:rsid w:val="0068613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4C0E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C0E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7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458">
          <w:marLeft w:val="2445"/>
          <w:marRight w:val="2460"/>
          <w:marTop w:val="0"/>
          <w:marBottom w:val="18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456">
                      <w:marLeft w:val="0"/>
                      <w:marRight w:val="2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10.161.1.9\Pesquisa\TERMO\PLANILHA\Novo%20Lay\2014\Evolu&#231;&#227;o%20&#250;ltimos%2012%20meses%20P&#243;s%20Rea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331896469145743E-2"/>
          <c:y val="0.18455293088363955"/>
          <c:w val="0.89354366089043069"/>
          <c:h val="0.78536585365853662"/>
        </c:manualLayout>
      </c:layout>
      <c:lineChart>
        <c:grouping val="stacked"/>
        <c:varyColors val="0"/>
        <c:ser>
          <c:idx val="0"/>
          <c:order val="0"/>
          <c:spPr>
            <a:ln w="31750">
              <a:solidFill>
                <a:srgbClr val="00B050"/>
              </a:solidFill>
              <a:prstDash val="solid"/>
            </a:ln>
          </c:spPr>
          <c:marker>
            <c:symbol val="none"/>
          </c:marker>
          <c:cat>
            <c:numRef>
              <c:f>Plan1!$A$74:$A$243</c:f>
              <c:numCache>
                <c:formatCode>mmm\-yy</c:formatCode>
                <c:ptCount val="170"/>
                <c:pt idx="0">
                  <c:v>36923</c:v>
                </c:pt>
                <c:pt idx="1">
                  <c:v>36951</c:v>
                </c:pt>
                <c:pt idx="2">
                  <c:v>36982</c:v>
                </c:pt>
                <c:pt idx="3">
                  <c:v>37012</c:v>
                </c:pt>
                <c:pt idx="4">
                  <c:v>37043</c:v>
                </c:pt>
                <c:pt idx="5">
                  <c:v>37073</c:v>
                </c:pt>
                <c:pt idx="6">
                  <c:v>37104</c:v>
                </c:pt>
                <c:pt idx="7">
                  <c:v>37135</c:v>
                </c:pt>
                <c:pt idx="8">
                  <c:v>37165</c:v>
                </c:pt>
                <c:pt idx="9">
                  <c:v>37196</c:v>
                </c:pt>
                <c:pt idx="10">
                  <c:v>37226</c:v>
                </c:pt>
                <c:pt idx="11">
                  <c:v>37257</c:v>
                </c:pt>
                <c:pt idx="12">
                  <c:v>37288</c:v>
                </c:pt>
                <c:pt idx="13">
                  <c:v>37316</c:v>
                </c:pt>
                <c:pt idx="14">
                  <c:v>37347</c:v>
                </c:pt>
                <c:pt idx="15">
                  <c:v>37377</c:v>
                </c:pt>
                <c:pt idx="16">
                  <c:v>37408</c:v>
                </c:pt>
                <c:pt idx="17">
                  <c:v>37438</c:v>
                </c:pt>
                <c:pt idx="18">
                  <c:v>37469</c:v>
                </c:pt>
                <c:pt idx="19">
                  <c:v>37500</c:v>
                </c:pt>
                <c:pt idx="20">
                  <c:v>37530</c:v>
                </c:pt>
                <c:pt idx="21">
                  <c:v>37561</c:v>
                </c:pt>
                <c:pt idx="22">
                  <c:v>37591</c:v>
                </c:pt>
                <c:pt idx="23">
                  <c:v>37622</c:v>
                </c:pt>
                <c:pt idx="24">
                  <c:v>37653</c:v>
                </c:pt>
                <c:pt idx="25">
                  <c:v>37681</c:v>
                </c:pt>
                <c:pt idx="26">
                  <c:v>37712</c:v>
                </c:pt>
                <c:pt idx="27">
                  <c:v>37742</c:v>
                </c:pt>
                <c:pt idx="28">
                  <c:v>37773</c:v>
                </c:pt>
                <c:pt idx="29">
                  <c:v>37803</c:v>
                </c:pt>
                <c:pt idx="30">
                  <c:v>37834</c:v>
                </c:pt>
                <c:pt idx="31">
                  <c:v>37865</c:v>
                </c:pt>
                <c:pt idx="32">
                  <c:v>37895</c:v>
                </c:pt>
                <c:pt idx="33">
                  <c:v>37926</c:v>
                </c:pt>
                <c:pt idx="34">
                  <c:v>37956</c:v>
                </c:pt>
                <c:pt idx="35">
                  <c:v>37987</c:v>
                </c:pt>
                <c:pt idx="36">
                  <c:v>38018</c:v>
                </c:pt>
                <c:pt idx="37">
                  <c:v>38047</c:v>
                </c:pt>
                <c:pt idx="38">
                  <c:v>38078</c:v>
                </c:pt>
                <c:pt idx="39">
                  <c:v>38108</c:v>
                </c:pt>
                <c:pt idx="40">
                  <c:v>38139</c:v>
                </c:pt>
                <c:pt idx="41">
                  <c:v>38169</c:v>
                </c:pt>
                <c:pt idx="42">
                  <c:v>38200</c:v>
                </c:pt>
                <c:pt idx="43">
                  <c:v>38231</c:v>
                </c:pt>
                <c:pt idx="44">
                  <c:v>38261</c:v>
                </c:pt>
                <c:pt idx="45">
                  <c:v>38292</c:v>
                </c:pt>
                <c:pt idx="46">
                  <c:v>38322</c:v>
                </c:pt>
                <c:pt idx="47">
                  <c:v>38353</c:v>
                </c:pt>
                <c:pt idx="48">
                  <c:v>38384</c:v>
                </c:pt>
                <c:pt idx="49">
                  <c:v>38412</c:v>
                </c:pt>
                <c:pt idx="50">
                  <c:v>38443</c:v>
                </c:pt>
                <c:pt idx="51">
                  <c:v>38473</c:v>
                </c:pt>
                <c:pt idx="52">
                  <c:v>38504</c:v>
                </c:pt>
                <c:pt idx="53">
                  <c:v>38534</c:v>
                </c:pt>
                <c:pt idx="54">
                  <c:v>38565</c:v>
                </c:pt>
                <c:pt idx="55">
                  <c:v>38596</c:v>
                </c:pt>
                <c:pt idx="56">
                  <c:v>38626</c:v>
                </c:pt>
                <c:pt idx="57">
                  <c:v>38657</c:v>
                </c:pt>
                <c:pt idx="58">
                  <c:v>38687</c:v>
                </c:pt>
                <c:pt idx="59">
                  <c:v>38718</c:v>
                </c:pt>
                <c:pt idx="60">
                  <c:v>38749</c:v>
                </c:pt>
                <c:pt idx="61">
                  <c:v>38777</c:v>
                </c:pt>
                <c:pt idx="62">
                  <c:v>38808</c:v>
                </c:pt>
                <c:pt idx="63">
                  <c:v>38838</c:v>
                </c:pt>
                <c:pt idx="64">
                  <c:v>38869</c:v>
                </c:pt>
                <c:pt idx="65">
                  <c:v>38899</c:v>
                </c:pt>
                <c:pt idx="66">
                  <c:v>38930</c:v>
                </c:pt>
                <c:pt idx="67">
                  <c:v>38961</c:v>
                </c:pt>
                <c:pt idx="68">
                  <c:v>38991</c:v>
                </c:pt>
                <c:pt idx="69">
                  <c:v>39022</c:v>
                </c:pt>
                <c:pt idx="70">
                  <c:v>39052</c:v>
                </c:pt>
                <c:pt idx="71">
                  <c:v>39083</c:v>
                </c:pt>
                <c:pt idx="72">
                  <c:v>39114</c:v>
                </c:pt>
                <c:pt idx="73">
                  <c:v>39142</c:v>
                </c:pt>
                <c:pt idx="74">
                  <c:v>39173</c:v>
                </c:pt>
                <c:pt idx="75">
                  <c:v>39203</c:v>
                </c:pt>
                <c:pt idx="76">
                  <c:v>39234</c:v>
                </c:pt>
                <c:pt idx="77">
                  <c:v>39264</c:v>
                </c:pt>
                <c:pt idx="78">
                  <c:v>39295</c:v>
                </c:pt>
                <c:pt idx="79">
                  <c:v>39326</c:v>
                </c:pt>
                <c:pt idx="80">
                  <c:v>39356</c:v>
                </c:pt>
                <c:pt idx="81">
                  <c:v>39387</c:v>
                </c:pt>
                <c:pt idx="82">
                  <c:v>39417</c:v>
                </c:pt>
                <c:pt idx="83">
                  <c:v>39448</c:v>
                </c:pt>
                <c:pt idx="84">
                  <c:v>39479</c:v>
                </c:pt>
                <c:pt idx="85">
                  <c:v>39508</c:v>
                </c:pt>
                <c:pt idx="86">
                  <c:v>39539</c:v>
                </c:pt>
                <c:pt idx="87">
                  <c:v>39569</c:v>
                </c:pt>
                <c:pt idx="88">
                  <c:v>39600</c:v>
                </c:pt>
                <c:pt idx="89">
                  <c:v>39630</c:v>
                </c:pt>
                <c:pt idx="90">
                  <c:v>39661</c:v>
                </c:pt>
                <c:pt idx="91">
                  <c:v>39692</c:v>
                </c:pt>
                <c:pt idx="92">
                  <c:v>39722</c:v>
                </c:pt>
                <c:pt idx="93">
                  <c:v>39753</c:v>
                </c:pt>
                <c:pt idx="94">
                  <c:v>39783</c:v>
                </c:pt>
                <c:pt idx="95">
                  <c:v>39814</c:v>
                </c:pt>
                <c:pt idx="96">
                  <c:v>39845</c:v>
                </c:pt>
                <c:pt idx="97">
                  <c:v>39873</c:v>
                </c:pt>
                <c:pt idx="98">
                  <c:v>39904</c:v>
                </c:pt>
                <c:pt idx="99">
                  <c:v>39934</c:v>
                </c:pt>
                <c:pt idx="100">
                  <c:v>39965</c:v>
                </c:pt>
                <c:pt idx="101">
                  <c:v>39995</c:v>
                </c:pt>
                <c:pt idx="102">
                  <c:v>40026</c:v>
                </c:pt>
                <c:pt idx="103">
                  <c:v>40057</c:v>
                </c:pt>
                <c:pt idx="104">
                  <c:v>40087</c:v>
                </c:pt>
                <c:pt idx="105">
                  <c:v>40118</c:v>
                </c:pt>
                <c:pt idx="106">
                  <c:v>40148</c:v>
                </c:pt>
                <c:pt idx="107">
                  <c:v>40179</c:v>
                </c:pt>
                <c:pt idx="108">
                  <c:v>40210</c:v>
                </c:pt>
                <c:pt idx="109">
                  <c:v>40238</c:v>
                </c:pt>
                <c:pt idx="110">
                  <c:v>40269</c:v>
                </c:pt>
                <c:pt idx="111">
                  <c:v>40299</c:v>
                </c:pt>
                <c:pt idx="112">
                  <c:v>40330</c:v>
                </c:pt>
                <c:pt idx="113">
                  <c:v>40360</c:v>
                </c:pt>
                <c:pt idx="114">
                  <c:v>40391</c:v>
                </c:pt>
                <c:pt idx="115">
                  <c:v>40422</c:v>
                </c:pt>
                <c:pt idx="116">
                  <c:v>40452</c:v>
                </c:pt>
                <c:pt idx="117">
                  <c:v>40483</c:v>
                </c:pt>
                <c:pt idx="118">
                  <c:v>40513</c:v>
                </c:pt>
                <c:pt idx="119">
                  <c:v>40544</c:v>
                </c:pt>
                <c:pt idx="120">
                  <c:v>40575</c:v>
                </c:pt>
                <c:pt idx="121">
                  <c:v>40603</c:v>
                </c:pt>
                <c:pt idx="122">
                  <c:v>40634</c:v>
                </c:pt>
                <c:pt idx="123">
                  <c:v>40664</c:v>
                </c:pt>
                <c:pt idx="124">
                  <c:v>40695</c:v>
                </c:pt>
                <c:pt idx="125">
                  <c:v>40725</c:v>
                </c:pt>
                <c:pt idx="126">
                  <c:v>40756</c:v>
                </c:pt>
                <c:pt idx="127">
                  <c:v>40787</c:v>
                </c:pt>
                <c:pt idx="128">
                  <c:v>40817</c:v>
                </c:pt>
                <c:pt idx="129">
                  <c:v>40848</c:v>
                </c:pt>
                <c:pt idx="130">
                  <c:v>40878</c:v>
                </c:pt>
                <c:pt idx="131">
                  <c:v>40909</c:v>
                </c:pt>
                <c:pt idx="132">
                  <c:v>40940</c:v>
                </c:pt>
                <c:pt idx="133">
                  <c:v>40969</c:v>
                </c:pt>
                <c:pt idx="134">
                  <c:v>41000</c:v>
                </c:pt>
                <c:pt idx="135">
                  <c:v>41030</c:v>
                </c:pt>
                <c:pt idx="136">
                  <c:v>41061</c:v>
                </c:pt>
                <c:pt idx="137">
                  <c:v>41091</c:v>
                </c:pt>
                <c:pt idx="138">
                  <c:v>41122</c:v>
                </c:pt>
                <c:pt idx="139">
                  <c:v>41153</c:v>
                </c:pt>
                <c:pt idx="140">
                  <c:v>41183</c:v>
                </c:pt>
                <c:pt idx="141">
                  <c:v>41214</c:v>
                </c:pt>
                <c:pt idx="142">
                  <c:v>41244</c:v>
                </c:pt>
                <c:pt idx="143">
                  <c:v>41275</c:v>
                </c:pt>
                <c:pt idx="144">
                  <c:v>41306</c:v>
                </c:pt>
                <c:pt idx="145">
                  <c:v>41334</c:v>
                </c:pt>
                <c:pt idx="146">
                  <c:v>41365</c:v>
                </c:pt>
                <c:pt idx="147">
                  <c:v>41395</c:v>
                </c:pt>
                <c:pt idx="148">
                  <c:v>41426</c:v>
                </c:pt>
                <c:pt idx="149">
                  <c:v>41456</c:v>
                </c:pt>
                <c:pt idx="150">
                  <c:v>41487</c:v>
                </c:pt>
                <c:pt idx="151">
                  <c:v>41518</c:v>
                </c:pt>
                <c:pt idx="152">
                  <c:v>41548</c:v>
                </c:pt>
                <c:pt idx="153">
                  <c:v>41579</c:v>
                </c:pt>
                <c:pt idx="154">
                  <c:v>41609</c:v>
                </c:pt>
                <c:pt idx="155">
                  <c:v>41640</c:v>
                </c:pt>
                <c:pt idx="156">
                  <c:v>41671</c:v>
                </c:pt>
                <c:pt idx="157">
                  <c:v>41699</c:v>
                </c:pt>
                <c:pt idx="158">
                  <c:v>41730</c:v>
                </c:pt>
                <c:pt idx="159">
                  <c:v>41760</c:v>
                </c:pt>
                <c:pt idx="160">
                  <c:v>41791</c:v>
                </c:pt>
                <c:pt idx="161">
                  <c:v>41821</c:v>
                </c:pt>
                <c:pt idx="162">
                  <c:v>41852</c:v>
                </c:pt>
                <c:pt idx="163">
                  <c:v>41883</c:v>
                </c:pt>
                <c:pt idx="164">
                  <c:v>41913</c:v>
                </c:pt>
                <c:pt idx="165">
                  <c:v>41944</c:v>
                </c:pt>
                <c:pt idx="166">
                  <c:v>41974</c:v>
                </c:pt>
                <c:pt idx="167">
                  <c:v>42005</c:v>
                </c:pt>
                <c:pt idx="168">
                  <c:v>42036</c:v>
                </c:pt>
              </c:numCache>
            </c:numRef>
          </c:cat>
          <c:val>
            <c:numRef>
              <c:f>Plan1!$B$74:$B$243</c:f>
              <c:numCache>
                <c:formatCode>0.00</c:formatCode>
                <c:ptCount val="170"/>
                <c:pt idx="0">
                  <c:v>9.4</c:v>
                </c:pt>
                <c:pt idx="1">
                  <c:v>10.3</c:v>
                </c:pt>
                <c:pt idx="2">
                  <c:v>11.5</c:v>
                </c:pt>
                <c:pt idx="3">
                  <c:v>11.2</c:v>
                </c:pt>
                <c:pt idx="4">
                  <c:v>10.3</c:v>
                </c:pt>
                <c:pt idx="5">
                  <c:v>8.9</c:v>
                </c:pt>
                <c:pt idx="6">
                  <c:v>7.2</c:v>
                </c:pt>
                <c:pt idx="7">
                  <c:v>5.7</c:v>
                </c:pt>
                <c:pt idx="8">
                  <c:v>4.2</c:v>
                </c:pt>
                <c:pt idx="9">
                  <c:v>2.5</c:v>
                </c:pt>
                <c:pt idx="10">
                  <c:v>0.9</c:v>
                </c:pt>
                <c:pt idx="11">
                  <c:v>-0.4</c:v>
                </c:pt>
                <c:pt idx="12">
                  <c:v>-1.1000000000000001</c:v>
                </c:pt>
                <c:pt idx="13">
                  <c:v>-3.5</c:v>
                </c:pt>
                <c:pt idx="14">
                  <c:v>-5.3</c:v>
                </c:pt>
                <c:pt idx="15">
                  <c:v>-5.8</c:v>
                </c:pt>
                <c:pt idx="16">
                  <c:v>-5.9</c:v>
                </c:pt>
                <c:pt idx="17">
                  <c:v>-5.0999999999999996</c:v>
                </c:pt>
                <c:pt idx="18">
                  <c:v>-3.6</c:v>
                </c:pt>
                <c:pt idx="19">
                  <c:v>-2.1</c:v>
                </c:pt>
                <c:pt idx="20">
                  <c:v>-1.4</c:v>
                </c:pt>
                <c:pt idx="21">
                  <c:v>0.4</c:v>
                </c:pt>
                <c:pt idx="22">
                  <c:v>2.7</c:v>
                </c:pt>
                <c:pt idx="23">
                  <c:v>2.9</c:v>
                </c:pt>
                <c:pt idx="24">
                  <c:v>4.8</c:v>
                </c:pt>
                <c:pt idx="25">
                  <c:v>4.5</c:v>
                </c:pt>
                <c:pt idx="26">
                  <c:v>4.5</c:v>
                </c:pt>
                <c:pt idx="27">
                  <c:v>3.8</c:v>
                </c:pt>
                <c:pt idx="28">
                  <c:v>3.6</c:v>
                </c:pt>
                <c:pt idx="29">
                  <c:v>2.5</c:v>
                </c:pt>
                <c:pt idx="30">
                  <c:v>0.5</c:v>
                </c:pt>
                <c:pt idx="31">
                  <c:v>-0.7</c:v>
                </c:pt>
                <c:pt idx="32">
                  <c:v>-1.4</c:v>
                </c:pt>
                <c:pt idx="33">
                  <c:v>-2.5</c:v>
                </c:pt>
                <c:pt idx="34">
                  <c:v>-3.8</c:v>
                </c:pt>
                <c:pt idx="35">
                  <c:v>-1.8</c:v>
                </c:pt>
                <c:pt idx="36">
                  <c:v>-3.6</c:v>
                </c:pt>
                <c:pt idx="37">
                  <c:v>0.9</c:v>
                </c:pt>
                <c:pt idx="38">
                  <c:v>3.2</c:v>
                </c:pt>
                <c:pt idx="39">
                  <c:v>4.5</c:v>
                </c:pt>
                <c:pt idx="40">
                  <c:v>6.7</c:v>
                </c:pt>
                <c:pt idx="41">
                  <c:v>9.1</c:v>
                </c:pt>
                <c:pt idx="42">
                  <c:v>11.6</c:v>
                </c:pt>
                <c:pt idx="43">
                  <c:v>14.2</c:v>
                </c:pt>
                <c:pt idx="44">
                  <c:v>15.3</c:v>
                </c:pt>
                <c:pt idx="45">
                  <c:v>16.8</c:v>
                </c:pt>
                <c:pt idx="46">
                  <c:v>17</c:v>
                </c:pt>
                <c:pt idx="47">
                  <c:v>14.8</c:v>
                </c:pt>
                <c:pt idx="48">
                  <c:v>16.8</c:v>
                </c:pt>
                <c:pt idx="49">
                  <c:v>13.7</c:v>
                </c:pt>
                <c:pt idx="50">
                  <c:v>12.5</c:v>
                </c:pt>
                <c:pt idx="51">
                  <c:v>13.2</c:v>
                </c:pt>
                <c:pt idx="52">
                  <c:v>11.4</c:v>
                </c:pt>
                <c:pt idx="53">
                  <c:v>9.6999999999999993</c:v>
                </c:pt>
                <c:pt idx="54">
                  <c:v>8.8000000000000007</c:v>
                </c:pt>
                <c:pt idx="55">
                  <c:v>7.1</c:v>
                </c:pt>
                <c:pt idx="56">
                  <c:v>6.8</c:v>
                </c:pt>
                <c:pt idx="57">
                  <c:v>6.1</c:v>
                </c:pt>
                <c:pt idx="58">
                  <c:v>6.2</c:v>
                </c:pt>
                <c:pt idx="59">
                  <c:v>4.9000000000000004</c:v>
                </c:pt>
                <c:pt idx="60">
                  <c:v>2.9</c:v>
                </c:pt>
                <c:pt idx="61">
                  <c:v>2.8</c:v>
                </c:pt>
                <c:pt idx="62">
                  <c:v>1.3</c:v>
                </c:pt>
                <c:pt idx="63">
                  <c:v>0.2</c:v>
                </c:pt>
                <c:pt idx="64">
                  <c:v>-0.7</c:v>
                </c:pt>
                <c:pt idx="65">
                  <c:v>-1.1000000000000001</c:v>
                </c:pt>
                <c:pt idx="66">
                  <c:v>-1.5</c:v>
                </c:pt>
                <c:pt idx="67">
                  <c:v>-0.9</c:v>
                </c:pt>
                <c:pt idx="68">
                  <c:v>-0.7</c:v>
                </c:pt>
                <c:pt idx="69">
                  <c:v>-0.4</c:v>
                </c:pt>
                <c:pt idx="70">
                  <c:v>-0.3</c:v>
                </c:pt>
                <c:pt idx="71">
                  <c:v>0.4</c:v>
                </c:pt>
                <c:pt idx="72">
                  <c:v>1.2</c:v>
                </c:pt>
                <c:pt idx="73">
                  <c:v>1.5</c:v>
                </c:pt>
                <c:pt idx="74">
                  <c:v>3.3</c:v>
                </c:pt>
                <c:pt idx="75">
                  <c:v>4</c:v>
                </c:pt>
                <c:pt idx="76">
                  <c:v>5.3</c:v>
                </c:pt>
                <c:pt idx="77">
                  <c:v>5.9</c:v>
                </c:pt>
                <c:pt idx="78">
                  <c:v>6.1</c:v>
                </c:pt>
                <c:pt idx="79">
                  <c:v>5.7</c:v>
                </c:pt>
                <c:pt idx="80">
                  <c:v>6.2</c:v>
                </c:pt>
                <c:pt idx="81">
                  <c:v>4.8</c:v>
                </c:pt>
                <c:pt idx="82">
                  <c:v>6.4</c:v>
                </c:pt>
                <c:pt idx="83">
                  <c:v>5.4</c:v>
                </c:pt>
                <c:pt idx="84">
                  <c:v>5.6</c:v>
                </c:pt>
                <c:pt idx="85">
                  <c:v>5.8</c:v>
                </c:pt>
                <c:pt idx="86">
                  <c:v>6.2</c:v>
                </c:pt>
                <c:pt idx="87">
                  <c:v>6.4</c:v>
                </c:pt>
                <c:pt idx="88">
                  <c:v>5.8</c:v>
                </c:pt>
                <c:pt idx="89">
                  <c:v>5.3</c:v>
                </c:pt>
                <c:pt idx="90">
                  <c:v>5.9</c:v>
                </c:pt>
                <c:pt idx="91">
                  <c:v>5.8</c:v>
                </c:pt>
                <c:pt idx="92">
                  <c:v>5.0999999999999996</c:v>
                </c:pt>
                <c:pt idx="93">
                  <c:v>4</c:v>
                </c:pt>
                <c:pt idx="94">
                  <c:v>4</c:v>
                </c:pt>
                <c:pt idx="95">
                  <c:v>3.4</c:v>
                </c:pt>
                <c:pt idx="96">
                  <c:v>1.7</c:v>
                </c:pt>
                <c:pt idx="97">
                  <c:v>2</c:v>
                </c:pt>
                <c:pt idx="98">
                  <c:v>2.4</c:v>
                </c:pt>
                <c:pt idx="99">
                  <c:v>2.6</c:v>
                </c:pt>
                <c:pt idx="100">
                  <c:v>2.7</c:v>
                </c:pt>
                <c:pt idx="101">
                  <c:v>3.2</c:v>
                </c:pt>
                <c:pt idx="102">
                  <c:v>3.3</c:v>
                </c:pt>
                <c:pt idx="103">
                  <c:v>3.8</c:v>
                </c:pt>
                <c:pt idx="104">
                  <c:v>4.5999999999999996</c:v>
                </c:pt>
                <c:pt idx="105">
                  <c:v>5</c:v>
                </c:pt>
                <c:pt idx="106">
                  <c:v>6.1</c:v>
                </c:pt>
                <c:pt idx="107">
                  <c:v>5.2</c:v>
                </c:pt>
                <c:pt idx="108">
                  <c:v>4.2</c:v>
                </c:pt>
                <c:pt idx="109">
                  <c:v>7.2</c:v>
                </c:pt>
                <c:pt idx="110">
                  <c:v>5.3</c:v>
                </c:pt>
                <c:pt idx="111">
                  <c:v>5.7</c:v>
                </c:pt>
                <c:pt idx="112">
                  <c:v>6.3</c:v>
                </c:pt>
                <c:pt idx="113">
                  <c:v>6.9</c:v>
                </c:pt>
                <c:pt idx="114">
                  <c:v>7.1</c:v>
                </c:pt>
                <c:pt idx="115">
                  <c:v>7.5</c:v>
                </c:pt>
                <c:pt idx="116">
                  <c:v>7.6</c:v>
                </c:pt>
                <c:pt idx="117">
                  <c:v>8.1</c:v>
                </c:pt>
                <c:pt idx="118">
                  <c:v>10.1</c:v>
                </c:pt>
                <c:pt idx="119">
                  <c:v>7.9</c:v>
                </c:pt>
                <c:pt idx="120">
                  <c:v>5.9</c:v>
                </c:pt>
                <c:pt idx="121">
                  <c:v>5.21</c:v>
                </c:pt>
                <c:pt idx="122">
                  <c:v>5.89</c:v>
                </c:pt>
                <c:pt idx="123">
                  <c:v>6.05</c:v>
                </c:pt>
                <c:pt idx="124">
                  <c:v>6.8</c:v>
                </c:pt>
                <c:pt idx="125">
                  <c:v>7.03</c:v>
                </c:pt>
                <c:pt idx="126">
                  <c:v>7.15</c:v>
                </c:pt>
                <c:pt idx="127">
                  <c:v>6.35</c:v>
                </c:pt>
                <c:pt idx="128">
                  <c:v>6.43</c:v>
                </c:pt>
                <c:pt idx="129">
                  <c:v>6.59</c:v>
                </c:pt>
                <c:pt idx="130">
                  <c:v>7.31</c:v>
                </c:pt>
                <c:pt idx="131">
                  <c:v>5.37</c:v>
                </c:pt>
                <c:pt idx="132">
                  <c:v>3.53</c:v>
                </c:pt>
                <c:pt idx="133">
                  <c:v>3.12</c:v>
                </c:pt>
                <c:pt idx="134">
                  <c:v>3.01</c:v>
                </c:pt>
                <c:pt idx="135">
                  <c:v>3.97</c:v>
                </c:pt>
                <c:pt idx="136">
                  <c:v>4.93</c:v>
                </c:pt>
                <c:pt idx="137">
                  <c:v>5.31</c:v>
                </c:pt>
                <c:pt idx="138">
                  <c:v>6.01</c:v>
                </c:pt>
                <c:pt idx="139">
                  <c:v>6.15</c:v>
                </c:pt>
                <c:pt idx="140">
                  <c:v>6.49</c:v>
                </c:pt>
                <c:pt idx="141">
                  <c:v>7.1</c:v>
                </c:pt>
                <c:pt idx="142">
                  <c:v>9.17</c:v>
                </c:pt>
                <c:pt idx="143">
                  <c:v>9.3699999999999992</c:v>
                </c:pt>
                <c:pt idx="144">
                  <c:v>9.41</c:v>
                </c:pt>
                <c:pt idx="145">
                  <c:v>9.44</c:v>
                </c:pt>
                <c:pt idx="146">
                  <c:v>9.4600000000000009</c:v>
                </c:pt>
                <c:pt idx="147">
                  <c:v>7.71</c:v>
                </c:pt>
                <c:pt idx="148">
                  <c:v>7.05</c:v>
                </c:pt>
                <c:pt idx="149">
                  <c:v>6.12</c:v>
                </c:pt>
                <c:pt idx="150">
                  <c:v>5.69</c:v>
                </c:pt>
                <c:pt idx="151">
                  <c:v>5.17</c:v>
                </c:pt>
                <c:pt idx="152">
                  <c:v>5.29</c:v>
                </c:pt>
                <c:pt idx="153">
                  <c:v>5.05</c:v>
                </c:pt>
                <c:pt idx="154">
                  <c:v>4.54</c:v>
                </c:pt>
                <c:pt idx="155">
                  <c:v>3.91</c:v>
                </c:pt>
                <c:pt idx="156">
                  <c:v>3.86</c:v>
                </c:pt>
                <c:pt idx="157">
                  <c:v>3.62</c:v>
                </c:pt>
                <c:pt idx="158">
                  <c:v>3.58</c:v>
                </c:pt>
                <c:pt idx="159">
                  <c:v>4.03</c:v>
                </c:pt>
                <c:pt idx="160">
                  <c:v>3.96</c:v>
                </c:pt>
                <c:pt idx="161">
                  <c:v>3.2</c:v>
                </c:pt>
                <c:pt idx="162">
                  <c:v>3.67</c:v>
                </c:pt>
                <c:pt idx="163">
                  <c:v>3.24</c:v>
                </c:pt>
                <c:pt idx="164">
                  <c:v>3.18</c:v>
                </c:pt>
                <c:pt idx="165">
                  <c:v>2.87</c:v>
                </c:pt>
                <c:pt idx="166">
                  <c:v>2.08</c:v>
                </c:pt>
                <c:pt idx="167">
                  <c:v>1.81</c:v>
                </c:pt>
                <c:pt idx="168">
                  <c:v>-2.2000000000000002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475328"/>
        <c:axId val="107476864"/>
      </c:lineChart>
      <c:dateAx>
        <c:axId val="107475328"/>
        <c:scaling>
          <c:orientation val="minMax"/>
        </c:scaling>
        <c:delete val="0"/>
        <c:axPos val="b"/>
        <c:numFmt formatCode="[$-416]mmm\-yy;@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540000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07476864"/>
        <c:crosses val="autoZero"/>
        <c:auto val="1"/>
        <c:lblOffset val="100"/>
        <c:baseTimeUnit val="months"/>
        <c:majorUnit val="6"/>
        <c:majorTimeUnit val="months"/>
      </c:dateAx>
      <c:valAx>
        <c:axId val="10747686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pt-BR"/>
          </a:p>
        </c:txPr>
        <c:crossAx val="10747532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9525">
      <a:noFill/>
    </a:ln>
  </c:spPr>
  <c:txPr>
    <a:bodyPr/>
    <a:lstStyle/>
    <a:p>
      <a:pPr>
        <a:defRPr sz="18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t-BR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0.11072</cdr:x>
      <cdr:y>0.74709</cdr:y>
    </cdr:from>
    <cdr:to>
      <cdr:x>0.12328</cdr:x>
      <cdr:y>0.7832</cdr:y>
    </cdr:to>
    <cdr:sp macro="" textlink="">
      <cdr:nvSpPr>
        <cdr:cNvPr id="2144" name="Text Box 9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0534" y="2930722"/>
          <a:ext cx="76216" cy="1432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0.73282</cdr:x>
      <cdr:y>0.30487</cdr:y>
    </cdr:from>
    <cdr:to>
      <cdr:x>0.75969</cdr:x>
      <cdr:y>0.49122</cdr:y>
    </cdr:to>
    <cdr:sp macro="" textlink="">
      <cdr:nvSpPr>
        <cdr:cNvPr id="2148" name="Text Box 10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18396" y="1201432"/>
          <a:ext cx="171893" cy="723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0.93683</cdr:x>
      <cdr:y>0.74709</cdr:y>
    </cdr:from>
    <cdr:to>
      <cdr:x>0.94471</cdr:x>
      <cdr:y>0.79783</cdr:y>
    </cdr:to>
    <cdr:sp macro="" textlink="">
      <cdr:nvSpPr>
        <cdr:cNvPr id="2150" name="Text Box 10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159485" y="2930722"/>
          <a:ext cx="56757" cy="1995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0.11671</cdr:x>
      <cdr:y>0.03095</cdr:y>
    </cdr:from>
    <cdr:to>
      <cdr:x>0.92175</cdr:x>
      <cdr:y>0.14387</cdr:y>
    </cdr:to>
    <cdr:sp macro="" textlink="">
      <cdr:nvSpPr>
        <cdr:cNvPr id="2151" name="Text Box 10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13787" y="119393"/>
          <a:ext cx="6303101" cy="4356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vertOverflow="clip" wrap="square" lIns="36576" tIns="27432" rIns="36576" bIns="0" anchor="t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pt-BR" sz="1200" b="1" i="0" strike="noStrike">
              <a:solidFill>
                <a:srgbClr val="000000"/>
              </a:solidFill>
              <a:latin typeface="Arial"/>
              <a:cs typeface="Arial"/>
            </a:rPr>
            <a:t>Comércio Varejista em Belo Horizonte (Acumulado</a:t>
          </a:r>
          <a:r>
            <a:rPr lang="pt-BR" sz="1200" b="1" i="0" strike="noStrike" baseline="0">
              <a:solidFill>
                <a:srgbClr val="000000"/>
              </a:solidFill>
              <a:latin typeface="Arial"/>
              <a:cs typeface="Arial"/>
            </a:rPr>
            <a:t> dos últimos 12 meses)</a:t>
          </a:r>
          <a:endParaRPr lang="pt-BR" sz="1200" b="1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0.11072</cdr:x>
      <cdr:y>0.74709</cdr:y>
    </cdr:from>
    <cdr:to>
      <cdr:x>0.12328</cdr:x>
      <cdr:y>0.7832</cdr:y>
    </cdr:to>
    <cdr:sp macro="" textlink="">
      <cdr:nvSpPr>
        <cdr:cNvPr id="2" name="Text Box 9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0534" y="2930722"/>
          <a:ext cx="76216" cy="1432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0.73282</cdr:x>
      <cdr:y>0.30487</cdr:y>
    </cdr:from>
    <cdr:to>
      <cdr:x>0.75969</cdr:x>
      <cdr:y>0.49122</cdr:y>
    </cdr:to>
    <cdr:sp macro="" textlink="">
      <cdr:nvSpPr>
        <cdr:cNvPr id="4" name="Text Box 10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18396" y="1201432"/>
          <a:ext cx="171893" cy="723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0.93683</cdr:x>
      <cdr:y>0.74709</cdr:y>
    </cdr:from>
    <cdr:to>
      <cdr:x>0.94471</cdr:x>
      <cdr:y>0.79783</cdr:y>
    </cdr:to>
    <cdr:sp macro="" textlink="">
      <cdr:nvSpPr>
        <cdr:cNvPr id="6" name="Text Box 10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159485" y="2930722"/>
          <a:ext cx="56757" cy="1995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0.11072</cdr:x>
      <cdr:y>0.74709</cdr:y>
    </cdr:from>
    <cdr:to>
      <cdr:x>0.12328</cdr:x>
      <cdr:y>0.7832</cdr:y>
    </cdr:to>
    <cdr:sp macro="" textlink="">
      <cdr:nvSpPr>
        <cdr:cNvPr id="8" name="Text Box 96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20534" y="2930722"/>
          <a:ext cx="76216" cy="14323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0.73282</cdr:x>
      <cdr:y>0.30487</cdr:y>
    </cdr:from>
    <cdr:to>
      <cdr:x>0.75969</cdr:x>
      <cdr:y>0.49122</cdr:y>
    </cdr:to>
    <cdr:sp macro="" textlink="">
      <cdr:nvSpPr>
        <cdr:cNvPr id="10" name="Text Box 100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818396" y="1201432"/>
          <a:ext cx="171893" cy="72380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0.12408</cdr:x>
      <cdr:y>0.18173</cdr:y>
    </cdr:from>
    <cdr:to>
      <cdr:x>0.20072</cdr:x>
      <cdr:y>0.9679</cdr:y>
    </cdr:to>
    <cdr:sp macro="" textlink="">
      <cdr:nvSpPr>
        <cdr:cNvPr id="11" name="Text Box 10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971520" y="701040"/>
          <a:ext cx="600057" cy="3032749"/>
        </a:xfrm>
        <a:prstGeom xmlns:a="http://schemas.openxmlformats.org/drawingml/2006/main" prst="rect">
          <a:avLst/>
        </a:prstGeom>
        <a:solidFill xmlns:a="http://schemas.openxmlformats.org/drawingml/2006/main">
          <a:srgbClr val="FFCC99">
            <a:alpha val="50000"/>
          </a:srgb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Overflow="clip" vert="vert270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r" rtl="0">
            <a:defRPr sz="1000"/>
          </a:pPr>
          <a:endParaRPr lang="pt-BR" sz="1000" b="1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0.93683</cdr:x>
      <cdr:y>0.74709</cdr:y>
    </cdr:from>
    <cdr:to>
      <cdr:x>0.94471</cdr:x>
      <cdr:y>0.79783</cdr:y>
    </cdr:to>
    <cdr:sp macro="" textlink="">
      <cdr:nvSpPr>
        <cdr:cNvPr id="12" name="Text Box 10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159485" y="2930722"/>
          <a:ext cx="56757" cy="199570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pt-BR"/>
        </a:p>
      </cdr:txBody>
    </cdr:sp>
  </cdr:relSizeAnchor>
  <cdr:relSizeAnchor xmlns:cdr="http://schemas.openxmlformats.org/drawingml/2006/chartDrawing">
    <cdr:from>
      <cdr:x>0.57543</cdr:x>
      <cdr:y>0.18272</cdr:y>
    </cdr:from>
    <cdr:to>
      <cdr:x>0.63382</cdr:x>
      <cdr:y>0.9679</cdr:y>
    </cdr:to>
    <cdr:sp macro="" textlink="">
      <cdr:nvSpPr>
        <cdr:cNvPr id="21" name="Text Box 9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505325" y="704870"/>
          <a:ext cx="457182" cy="302893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2">
            <a:lumMod val="40000"/>
            <a:lumOff val="60000"/>
            <a:alpha val="50000"/>
          </a:schemeClr>
        </a:solidFill>
        <a:ln xmlns:a="http://schemas.openxmlformats.org/drawingml/2006/main" w="9525">
          <a:solidFill>
            <a:srgbClr val="000000"/>
          </a:solidFill>
          <a:miter lim="800000"/>
          <a:headEnd/>
          <a:tailEnd/>
        </a:ln>
      </cdr:spPr>
      <cdr:txBody>
        <a:bodyPr xmlns:a="http://schemas.openxmlformats.org/drawingml/2006/main" vert="vert270" wrap="square" lIns="27432" tIns="22860" rIns="27432" bIns="2286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>
            <a:defRPr sz="1000"/>
          </a:pPr>
          <a:endParaRPr lang="pt-BR" sz="900" b="1" i="0" strike="noStrike">
            <a:solidFill>
              <a:srgbClr val="000000"/>
            </a:solidFill>
            <a:latin typeface="Arial"/>
            <a:cs typeface="Arial"/>
          </a:endParaRPr>
        </a:p>
      </cdr:txBody>
    </cdr:sp>
  </cdr:relSizeAnchor>
  <cdr:relSizeAnchor xmlns:cdr="http://schemas.openxmlformats.org/drawingml/2006/chartDrawing">
    <cdr:from>
      <cdr:x>0.26521</cdr:x>
      <cdr:y>0.84597</cdr:y>
    </cdr:from>
    <cdr:to>
      <cdr:x>0.6764</cdr:x>
      <cdr:y>1</cdr:y>
    </cdr:to>
    <cdr:sp macro="" textlink="">
      <cdr:nvSpPr>
        <cdr:cNvPr id="3" name="CaixaDeTexto 2"/>
        <cdr:cNvSpPr txBox="1"/>
      </cdr:nvSpPr>
      <cdr:spPr>
        <a:xfrm xmlns:a="http://schemas.openxmlformats.org/drawingml/2006/main">
          <a:off x="1599879" y="2454964"/>
          <a:ext cx="2480504" cy="44698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r>
            <a:rPr lang="pt-BR" sz="1100" b="1"/>
            <a:t>Racionamento</a:t>
          </a:r>
          <a:r>
            <a:rPr lang="pt-BR" sz="1100" b="1" baseline="0"/>
            <a:t> de energia  </a:t>
          </a:r>
        </a:p>
        <a:p xmlns:a="http://schemas.openxmlformats.org/drawingml/2006/main">
          <a:pPr algn="l"/>
          <a:r>
            <a:rPr lang="pt-BR" sz="1100" b="1" baseline="0"/>
            <a:t>(Jul/01 a set/02)</a:t>
          </a:r>
          <a:endParaRPr lang="pt-BR" sz="1100" b="1"/>
        </a:p>
      </cdr:txBody>
    </cdr:sp>
  </cdr:relSizeAnchor>
  <cdr:relSizeAnchor xmlns:cdr="http://schemas.openxmlformats.org/drawingml/2006/chartDrawing">
    <cdr:from>
      <cdr:x>0.69587</cdr:x>
      <cdr:y>0.83227</cdr:y>
    </cdr:from>
    <cdr:to>
      <cdr:x>0.99027</cdr:x>
      <cdr:y>0.95638</cdr:y>
    </cdr:to>
    <cdr:sp macro="" textlink="">
      <cdr:nvSpPr>
        <cdr:cNvPr id="22" name="CaixaDeTexto 1"/>
        <cdr:cNvSpPr txBox="1"/>
      </cdr:nvSpPr>
      <cdr:spPr>
        <a:xfrm xmlns:a="http://schemas.openxmlformats.org/drawingml/2006/main">
          <a:off x="4197836" y="2415209"/>
          <a:ext cx="1775968" cy="3601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/>
          <a:r>
            <a:rPr lang="pt-BR" sz="1100" b="1"/>
            <a:t>Crise Internacional </a:t>
          </a:r>
        </a:p>
        <a:p xmlns:a="http://schemas.openxmlformats.org/drawingml/2006/main">
          <a:pPr algn="l"/>
          <a:r>
            <a:rPr lang="pt-BR" sz="1100" b="1"/>
            <a:t>(Ago/08</a:t>
          </a:r>
          <a:r>
            <a:rPr lang="pt-BR" sz="1100" b="1" baseline="0"/>
            <a:t> a jul/09)</a:t>
          </a:r>
          <a:r>
            <a:rPr lang="pt-BR" sz="1100" b="1"/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21E30-559D-4DF9-8326-10A52352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2224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CDLBH</Company>
  <LinksUpToDate>false</LinksUpToDate>
  <CharactersWithSpaces>14207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Dalcia Helena de Oliveira</cp:lastModifiedBy>
  <cp:revision>2</cp:revision>
  <cp:lastPrinted>2013-05-15T14:06:00Z</cp:lastPrinted>
  <dcterms:created xsi:type="dcterms:W3CDTF">2015-05-15T20:59:00Z</dcterms:created>
  <dcterms:modified xsi:type="dcterms:W3CDTF">2015-05-15T20:59:00Z</dcterms:modified>
</cp:coreProperties>
</file>