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C" w:rsidRPr="009E179E" w:rsidRDefault="009D515F">
      <w:pPr>
        <w:jc w:val="center"/>
        <w:rPr>
          <w:rFonts w:ascii="Verdana" w:hAnsi="Verdana" w:cs="Verdana"/>
          <w:sz w:val="52"/>
          <w:szCs w:val="52"/>
        </w:rPr>
      </w:pPr>
      <w:bookmarkStart w:id="0" w:name="_GoBack"/>
      <w:bookmarkEnd w:id="0"/>
      <w:r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FCC"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 w:rsidP="002A44CD">
      <w:pPr>
        <w:rPr>
          <w:rFonts w:ascii="Verdana" w:hAnsi="Verdana" w:cs="Verdana"/>
          <w:sz w:val="56"/>
          <w:szCs w:val="56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6"/>
          <w:szCs w:val="56"/>
        </w:rPr>
      </w:pPr>
    </w:p>
    <w:p w:rsidR="00C75FCC" w:rsidRPr="009E179E" w:rsidRDefault="00C75FCC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 w:rsidRPr="009E179E">
        <w:rPr>
          <w:rFonts w:ascii="Verdana" w:hAnsi="Verdana" w:cs="Verdana"/>
          <w:sz w:val="56"/>
          <w:szCs w:val="56"/>
        </w:rPr>
        <w:t>TERMÔMETRO DE VENDAS</w:t>
      </w:r>
    </w:p>
    <w:p w:rsidR="00C75FCC" w:rsidRPr="009E179E" w:rsidRDefault="004C293C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>
        <w:rPr>
          <w:rFonts w:ascii="Verdana" w:hAnsi="Verdana" w:cs="Verdana"/>
          <w:sz w:val="56"/>
          <w:szCs w:val="56"/>
        </w:rPr>
        <w:t>ABRIL</w:t>
      </w:r>
      <w:r w:rsidR="00C75FCC" w:rsidRPr="009E179E">
        <w:rPr>
          <w:rFonts w:ascii="Verdana" w:hAnsi="Verdana" w:cs="Verdana"/>
          <w:sz w:val="56"/>
          <w:szCs w:val="56"/>
        </w:rPr>
        <w:t>/201</w:t>
      </w:r>
      <w:r w:rsidR="009E179E" w:rsidRPr="009E179E">
        <w:rPr>
          <w:rFonts w:ascii="Verdana" w:hAnsi="Verdana" w:cs="Verdana"/>
          <w:sz w:val="56"/>
          <w:szCs w:val="56"/>
        </w:rPr>
        <w:t>5</w:t>
      </w: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sz w:val="28"/>
          <w:szCs w:val="28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  <w:bookmarkStart w:id="1" w:name="_Toc166983879"/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bookmarkEnd w:id="1"/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Elaborado: Economia - Pesquisa &amp; Mercado</w:t>
      </w:r>
    </w:p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Equipe Técnica:  Economista – Ana Pala Bastos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Estatística</w:t>
      </w:r>
      <w:r w:rsidR="00B85664">
        <w:rPr>
          <w:rFonts w:ascii="Verdana" w:hAnsi="Verdana"/>
          <w:b/>
          <w:bCs/>
          <w:szCs w:val="24"/>
        </w:rPr>
        <w:t xml:space="preserve"> - </w:t>
      </w:r>
      <w:r w:rsidRPr="00D95307">
        <w:rPr>
          <w:rFonts w:ascii="Verdana" w:hAnsi="Verdana"/>
          <w:b/>
          <w:bCs/>
          <w:szCs w:val="24"/>
        </w:rPr>
        <w:t>Sarah Ribeiro</w:t>
      </w:r>
    </w:p>
    <w:p w:rsidR="00C11810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Analista</w:t>
      </w:r>
      <w:r>
        <w:rPr>
          <w:rFonts w:ascii="Verdana" w:hAnsi="Verdana"/>
          <w:b/>
          <w:bCs/>
          <w:szCs w:val="24"/>
        </w:rPr>
        <w:t xml:space="preserve"> </w:t>
      </w:r>
      <w:r w:rsidRPr="00D95307">
        <w:rPr>
          <w:rFonts w:ascii="Verdana" w:hAnsi="Verdana"/>
          <w:b/>
          <w:bCs/>
          <w:szCs w:val="24"/>
        </w:rPr>
        <w:t>- Francisco Rocha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Técnico em Pesquisa - Amanda Santos</w:t>
      </w: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11810">
      <w:pPr>
        <w:jc w:val="center"/>
        <w:rPr>
          <w:rFonts w:ascii="Verdana" w:hAnsi="Verdana" w:cs="Verdana"/>
          <w:sz w:val="24"/>
          <w:szCs w:val="24"/>
        </w:rPr>
        <w:sectPr w:rsidR="00C75FCC" w:rsidRPr="009E179E" w:rsidSect="00991887">
          <w:headerReference w:type="default" r:id="rId9"/>
          <w:footerReference w:type="default" r:id="rId10"/>
          <w:type w:val="oddPage"/>
          <w:pgSz w:w="11907" w:h="16840" w:code="9"/>
          <w:pgMar w:top="1418" w:right="851" w:bottom="1287" w:left="851" w:header="284" w:footer="197" w:gutter="0"/>
          <w:cols w:space="720"/>
        </w:sectPr>
      </w:pPr>
      <w:r>
        <w:rPr>
          <w:rFonts w:ascii="Verdana" w:hAnsi="Verdana" w:cs="Verdana"/>
          <w:sz w:val="24"/>
          <w:szCs w:val="24"/>
        </w:rPr>
        <w:t>Abril</w:t>
      </w:r>
      <w:r w:rsidR="009E179E">
        <w:rPr>
          <w:rFonts w:ascii="Verdana" w:hAnsi="Verdana" w:cs="Verdana"/>
          <w:sz w:val="24"/>
          <w:szCs w:val="24"/>
        </w:rPr>
        <w:t>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E179E" w:rsidRPr="009E179E" w:rsidTr="00DB5B89">
        <w:tc>
          <w:tcPr>
            <w:tcW w:w="1034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C75FCC" w:rsidRPr="009E179E" w:rsidRDefault="002D7D4D" w:rsidP="00AF40C5">
            <w:pPr>
              <w:pStyle w:val="Ttulo9"/>
              <w:spacing w:before="120" w:after="120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9E179E">
              <w:rPr>
                <w:rFonts w:ascii="Verdana" w:hAnsi="Verdana" w:cs="Verdana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COMÉRCIO VAREJISTA: DESEMPENHO EM 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MARÇO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/15</w:t>
            </w: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9E179E" w:rsidP="008C274D">
            <w:pPr>
              <w:spacing w:before="120" w:after="120"/>
              <w:outlineLvl w:val="0"/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BASE I: Mês Imediatamente Anterior (</w:t>
            </w:r>
            <w:r w:rsidR="004C293C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Abr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4C293C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Mar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</w:t>
            </w:r>
            <w:r w:rsidR="00C11810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5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)</w:t>
            </w:r>
          </w:p>
        </w:tc>
      </w:tr>
      <w:tr w:rsidR="009E179E" w:rsidRPr="009E179E" w:rsidTr="00560C1F"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C5" w:rsidRDefault="00AF40C5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0B588A">
              <w:rPr>
                <w:rFonts w:ascii="Verdana" w:hAnsi="Verdana"/>
                <w:color w:val="000000"/>
                <w:sz w:val="24"/>
                <w:szCs w:val="24"/>
              </w:rPr>
              <w:t>O índice real de vendas apresentou, na comparação com o mês imediatamente anterior</w:t>
            </w:r>
            <w:r w:rsidRPr="000108E1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0108E1">
              <w:rPr>
                <w:rFonts w:ascii="Verdana" w:hAnsi="Verdana"/>
                <w:b/>
                <w:bCs/>
                <w:sz w:val="24"/>
                <w:szCs w:val="24"/>
              </w:rPr>
              <w:t>um</w:t>
            </w:r>
            <w:r w:rsidR="00AC6FD3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 w:rsidRPr="000108E1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AC6FD3">
              <w:rPr>
                <w:rFonts w:ascii="Verdana" w:hAnsi="Verdana"/>
                <w:b/>
                <w:bCs/>
                <w:sz w:val="24"/>
                <w:szCs w:val="24"/>
              </w:rPr>
              <w:t>queda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de </w:t>
            </w:r>
            <w:r w:rsidR="00AC6FD3">
              <w:rPr>
                <w:rFonts w:ascii="Verdana" w:hAnsi="Verdana"/>
                <w:b/>
                <w:bCs/>
                <w:sz w:val="24"/>
                <w:szCs w:val="24"/>
              </w:rPr>
              <w:t>-1,35</w:t>
            </w:r>
            <w:r w:rsidRPr="003D4245">
              <w:rPr>
                <w:rFonts w:ascii="Verdana" w:hAnsi="Verdana"/>
                <w:b/>
                <w:bCs/>
                <w:sz w:val="24"/>
                <w:szCs w:val="24"/>
              </w:rPr>
              <w:t>%</w:t>
            </w:r>
            <w:r w:rsidRPr="003D4245">
              <w:rPr>
                <w:rFonts w:ascii="Verdana" w:hAnsi="Verdana"/>
                <w:bCs/>
                <w:sz w:val="24"/>
                <w:szCs w:val="24"/>
              </w:rPr>
              <w:t>.  Est</w:t>
            </w:r>
            <w:r w:rsidR="00AC6FD3" w:rsidRPr="003D4245">
              <w:rPr>
                <w:rFonts w:ascii="Verdana" w:hAnsi="Verdana"/>
                <w:bCs/>
                <w:sz w:val="24"/>
                <w:szCs w:val="24"/>
              </w:rPr>
              <w:t>a queda deve-se ao</w:t>
            </w:r>
            <w:r w:rsidR="00F63793" w:rsidRPr="003D4245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AC6FD3" w:rsidRPr="003D4245">
              <w:rPr>
                <w:rFonts w:ascii="Verdana" w:hAnsi="Verdana"/>
                <w:bCs/>
                <w:sz w:val="24"/>
                <w:szCs w:val="24"/>
              </w:rPr>
              <w:t>fato de abril ter contado com dois feriados Semana santa e Tiradentes, quando houve um esvaziamento da cidade bem como</w:t>
            </w:r>
            <w:r w:rsidRPr="003D4245">
              <w:rPr>
                <w:rFonts w:ascii="Verdana" w:hAnsi="Verdana"/>
                <w:bCs/>
                <w:sz w:val="24"/>
                <w:szCs w:val="24"/>
              </w:rPr>
              <w:t xml:space="preserve"> o fato de </w:t>
            </w:r>
            <w:r w:rsidR="003D4245" w:rsidRPr="003D4245">
              <w:rPr>
                <w:rFonts w:ascii="Verdana" w:hAnsi="Verdana"/>
                <w:bCs/>
                <w:sz w:val="24"/>
                <w:szCs w:val="24"/>
              </w:rPr>
              <w:t xml:space="preserve">março </w:t>
            </w:r>
            <w:r w:rsidRPr="003D4245">
              <w:rPr>
                <w:rFonts w:ascii="Verdana" w:hAnsi="Verdana"/>
                <w:bCs/>
                <w:sz w:val="24"/>
                <w:szCs w:val="24"/>
              </w:rPr>
              <w:t xml:space="preserve">ter sido uma base </w:t>
            </w:r>
            <w:r w:rsidR="003D4245" w:rsidRPr="003D4245">
              <w:rPr>
                <w:rFonts w:ascii="Verdana" w:hAnsi="Verdana"/>
                <w:bCs/>
                <w:sz w:val="24"/>
                <w:szCs w:val="24"/>
              </w:rPr>
              <w:t>forte</w:t>
            </w:r>
            <w:r w:rsidRPr="003D4245">
              <w:rPr>
                <w:rFonts w:ascii="Verdana" w:hAnsi="Verdana"/>
                <w:bCs/>
                <w:sz w:val="24"/>
                <w:szCs w:val="24"/>
              </w:rPr>
              <w:t xml:space="preserve"> de comparação por contar com um número </w:t>
            </w:r>
            <w:r w:rsidR="003D4245" w:rsidRPr="003D4245">
              <w:rPr>
                <w:rFonts w:ascii="Verdana" w:hAnsi="Verdana"/>
                <w:bCs/>
                <w:sz w:val="24"/>
                <w:szCs w:val="24"/>
              </w:rPr>
              <w:t>maior</w:t>
            </w:r>
            <w:r w:rsidRPr="003D4245">
              <w:rPr>
                <w:rFonts w:ascii="Verdana" w:hAnsi="Verdana"/>
                <w:bCs/>
                <w:sz w:val="24"/>
                <w:szCs w:val="24"/>
              </w:rPr>
              <w:t xml:space="preserve"> de dias úteis </w:t>
            </w:r>
            <w:r w:rsidR="00C479F7" w:rsidRPr="003D4245">
              <w:rPr>
                <w:rFonts w:ascii="Verdana" w:hAnsi="Verdana"/>
                <w:bCs/>
                <w:sz w:val="24"/>
                <w:szCs w:val="24"/>
              </w:rPr>
              <w:t>(</w:t>
            </w:r>
            <w:r w:rsidR="00AC6FD3" w:rsidRPr="003D4245">
              <w:rPr>
                <w:rFonts w:ascii="Verdana" w:hAnsi="Verdana"/>
                <w:bCs/>
                <w:sz w:val="24"/>
                <w:szCs w:val="24"/>
              </w:rPr>
              <w:t>abril com 20 dias úteis</w:t>
            </w:r>
            <w:r w:rsidR="00C479F7" w:rsidRPr="003D4245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 w:rsidR="00AC6FD3" w:rsidRPr="003D4245">
              <w:rPr>
                <w:rFonts w:ascii="Verdana" w:hAnsi="Verdana"/>
                <w:bCs/>
                <w:sz w:val="24"/>
                <w:szCs w:val="24"/>
              </w:rPr>
              <w:t xml:space="preserve">e </w:t>
            </w:r>
            <w:r w:rsidRPr="003D4245">
              <w:rPr>
                <w:rFonts w:ascii="Verdana" w:hAnsi="Verdana"/>
                <w:bCs/>
                <w:sz w:val="24"/>
                <w:szCs w:val="24"/>
              </w:rPr>
              <w:t xml:space="preserve">março com 22 dias úteis). </w:t>
            </w:r>
          </w:p>
          <w:p w:rsidR="00EE2F31" w:rsidRPr="00EE2F31" w:rsidRDefault="00EE2F31" w:rsidP="00EE2F31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MÊS Imediatamente anterior</w:t>
            </w: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>– GRÁFICO 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  <w:p w:rsidR="00EE2F31" w:rsidRPr="003D4245" w:rsidRDefault="00560C1F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EE6C4E" wp14:editId="13BDBEC3">
                  <wp:extent cx="5635487" cy="3429000"/>
                  <wp:effectExtent l="0" t="0" r="22860" b="1905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E2F31" w:rsidRPr="00EE2F31" w:rsidRDefault="00EE2F31" w:rsidP="00EE2F31">
            <w:pPr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  <w:p w:rsidR="003D4245" w:rsidRDefault="003D4245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3D4245" w:rsidRDefault="003D4245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0A67B7" w:rsidRDefault="000A67B7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0A67B7" w:rsidRDefault="000A67B7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  <w:p w:rsidR="00560C1F" w:rsidRPr="009E179E" w:rsidRDefault="00560C1F" w:rsidP="004C293C">
            <w:pPr>
              <w:pStyle w:val="Recuodecorpodetexto3"/>
              <w:spacing w:before="240" w:line="360" w:lineRule="auto"/>
              <w:rPr>
                <w:rFonts w:ascii="Verdana" w:hAnsi="Verdana" w:cs="Verdana"/>
                <w:color w:val="FF0000"/>
              </w:rPr>
            </w:pP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4B7A0A" w:rsidP="004C293C">
            <w:pPr>
              <w:spacing w:before="120" w:after="120"/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lastRenderedPageBreak/>
              <w:t>BASE II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: Mesmo Mês do Ano Anterior (</w:t>
            </w:r>
            <w:r w:rsidR="004C293C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Ab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r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4C293C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Ab</w:t>
            </w:r>
            <w:r w:rsidR="00AF40C5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r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.14)</w:t>
            </w:r>
          </w:p>
        </w:tc>
      </w:tr>
      <w:tr w:rsidR="002D7D4D" w:rsidRPr="009E179E" w:rsidTr="009F157E">
        <w:tc>
          <w:tcPr>
            <w:tcW w:w="10345" w:type="dxa"/>
            <w:shd w:val="clear" w:color="auto" w:fill="auto"/>
            <w:vAlign w:val="center"/>
          </w:tcPr>
          <w:p w:rsidR="00AF40C5" w:rsidRDefault="00AF40C5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0A67B7">
              <w:rPr>
                <w:rFonts w:ascii="Verdana" w:hAnsi="Verdana" w:cs="Verdana"/>
                <w:sz w:val="24"/>
                <w:szCs w:val="24"/>
              </w:rPr>
              <w:t xml:space="preserve">Na comparação com o mesmo mês do ano anterior, </w:t>
            </w:r>
            <w:r w:rsidR="00370277">
              <w:rPr>
                <w:rFonts w:ascii="Verdana" w:hAnsi="Verdana" w:cs="Verdana"/>
                <w:sz w:val="24"/>
                <w:szCs w:val="24"/>
              </w:rPr>
              <w:t>abril</w:t>
            </w:r>
            <w:r w:rsidRPr="000A67B7">
              <w:rPr>
                <w:rFonts w:ascii="Verdana" w:hAnsi="Verdana" w:cs="Verdana"/>
                <w:sz w:val="24"/>
                <w:szCs w:val="24"/>
              </w:rPr>
              <w:t xml:space="preserve"> apresentou </w:t>
            </w:r>
            <w:r w:rsidRPr="000A67B7">
              <w:rPr>
                <w:rFonts w:ascii="Verdana" w:hAnsi="Verdana"/>
                <w:b/>
                <w:bCs/>
                <w:sz w:val="24"/>
                <w:szCs w:val="24"/>
              </w:rPr>
              <w:t>uma queda de -</w:t>
            </w:r>
            <w:r w:rsidR="00EE2F31" w:rsidRPr="000A67B7">
              <w:rPr>
                <w:rFonts w:ascii="Verdana" w:hAnsi="Verdana"/>
                <w:b/>
                <w:bCs/>
                <w:sz w:val="24"/>
                <w:szCs w:val="24"/>
              </w:rPr>
              <w:t>4,29</w:t>
            </w:r>
            <w:r w:rsidRPr="000A67B7">
              <w:rPr>
                <w:rFonts w:ascii="Verdana" w:hAnsi="Verdana"/>
                <w:b/>
                <w:bCs/>
                <w:sz w:val="24"/>
                <w:szCs w:val="24"/>
              </w:rPr>
              <w:t>%</w:t>
            </w:r>
            <w:r w:rsidRPr="000A67B7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.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Novamente observa-se nesta base de comparação o efeito negativo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da desaceleração da atividade econômica,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do aumento da inflação e da taxa de juros sobre o nível de consumo, e, por conseguinte, das vendas.</w:t>
            </w:r>
            <w:r>
              <w:rPr>
                <w:rFonts w:ascii="Verdana" w:hAnsi="Verdana" w:cs="Verdana"/>
                <w:bCs/>
                <w:color w:val="FF0000"/>
                <w:sz w:val="24"/>
                <w:szCs w:val="24"/>
              </w:rPr>
              <w:t xml:space="preserve"> 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Em 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>abril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, o IPCA (medida de inflação oficial no país) atingiu variação de 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 xml:space="preserve">0,71%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(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>ab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r.14 0,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>67%)</w:t>
            </w:r>
            <w:r w:rsidR="00FA69B5">
              <w:rPr>
                <w:rFonts w:ascii="Verdana" w:hAnsi="Verdana" w:cs="Verdana"/>
                <w:bCs/>
                <w:sz w:val="24"/>
                <w:szCs w:val="24"/>
              </w:rPr>
              <w:t xml:space="preserve"> o que leva a uma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redução do poder de compra das famílias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proofErr w:type="gramStart"/>
            <w:r w:rsidR="004C293C">
              <w:rPr>
                <w:rFonts w:ascii="Verdana" w:hAnsi="Verdana" w:cs="Verdana"/>
                <w:bCs/>
                <w:sz w:val="24"/>
                <w:szCs w:val="24"/>
              </w:rPr>
              <w:t>(</w:t>
            </w:r>
            <w:r w:rsidR="00EE2F31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proofErr w:type="gramEnd"/>
            <w:r w:rsidR="00EE2F31">
              <w:rPr>
                <w:rFonts w:ascii="Verdana" w:hAnsi="Verdana" w:cs="Verdana"/>
                <w:bCs/>
                <w:sz w:val="24"/>
                <w:szCs w:val="24"/>
              </w:rPr>
              <w:t xml:space="preserve">renda real 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>abril.15 em comparação abril.14</w:t>
            </w:r>
            <w:r w:rsidR="0001417A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4C293C">
              <w:rPr>
                <w:rFonts w:ascii="Verdana" w:hAnsi="Verdana" w:cs="Verdana"/>
                <w:bCs/>
                <w:sz w:val="24"/>
                <w:szCs w:val="24"/>
              </w:rPr>
              <w:t>-4,14%)</w:t>
            </w:r>
            <w:r w:rsidR="0001417A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impactando negativamente nas vendas.</w:t>
            </w:r>
            <w:r w:rsidRPr="00FA69B5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FA69B5" w:rsidRPr="00FA69B5">
              <w:rPr>
                <w:rFonts w:ascii="Verdana" w:hAnsi="Verdana" w:cs="Verdana"/>
                <w:bCs/>
                <w:sz w:val="24"/>
                <w:szCs w:val="24"/>
              </w:rPr>
              <w:t xml:space="preserve"> Aliad</w:t>
            </w:r>
            <w:r w:rsidR="00FA69B5">
              <w:rPr>
                <w:rFonts w:ascii="Verdana" w:hAnsi="Verdana" w:cs="Verdana"/>
                <w:bCs/>
                <w:sz w:val="24"/>
                <w:szCs w:val="24"/>
              </w:rPr>
              <w:t xml:space="preserve">o a isso tivemos uma elevação da taxa de desemprego </w:t>
            </w:r>
            <w:r w:rsidR="008F1F7D" w:rsidRPr="00D46514">
              <w:rPr>
                <w:rFonts w:ascii="Verdana" w:hAnsi="Verdana" w:cs="Verdana"/>
                <w:bCs/>
                <w:sz w:val="24"/>
                <w:szCs w:val="24"/>
              </w:rPr>
              <w:t>(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Abr</w:t>
            </w:r>
            <w:r w:rsidR="008F1F7D" w:rsidRPr="00A96FB2">
              <w:rPr>
                <w:rFonts w:ascii="Verdana" w:hAnsi="Verdana" w:cs="Verdana"/>
                <w:bCs/>
                <w:sz w:val="24"/>
                <w:szCs w:val="24"/>
              </w:rPr>
              <w:t>.14 era de 3,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6</w:t>
            </w:r>
            <w:r w:rsidR="008F1F7D"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% e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Abr.15</w:t>
            </w:r>
            <w:r w:rsidR="008F1F7D"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5,55</w:t>
            </w:r>
            <w:r w:rsidR="008F1F7D" w:rsidRPr="00A96FB2">
              <w:rPr>
                <w:rFonts w:ascii="Verdana" w:hAnsi="Verdana" w:cs="Verdana"/>
                <w:bCs/>
                <w:sz w:val="24"/>
                <w:szCs w:val="24"/>
              </w:rPr>
              <w:t>%, segundo o IBGE)</w:t>
            </w:r>
            <w:r w:rsidR="00FA69B5" w:rsidRPr="00FA69B5">
              <w:rPr>
                <w:rFonts w:ascii="Verdana" w:hAnsi="Verdana" w:cs="Verdana"/>
                <w:bCs/>
                <w:sz w:val="24"/>
                <w:szCs w:val="24"/>
              </w:rPr>
              <w:t xml:space="preserve">, juros elevados </w:t>
            </w:r>
            <w:r w:rsidR="00FA69B5">
              <w:rPr>
                <w:rFonts w:ascii="Verdana" w:hAnsi="Verdana" w:cs="Verdana"/>
                <w:bCs/>
                <w:sz w:val="24"/>
                <w:szCs w:val="24"/>
              </w:rPr>
              <w:t>13,25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% a.a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.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no mês em questão, ante </w:t>
            </w:r>
            <w:r w:rsidR="00FA69B5">
              <w:rPr>
                <w:rFonts w:ascii="Verdana" w:hAnsi="Verdana" w:cs="Verdana"/>
                <w:bCs/>
                <w:sz w:val="24"/>
                <w:szCs w:val="24"/>
              </w:rPr>
              <w:t>11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>%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a.a.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em </w:t>
            </w:r>
            <w:r w:rsidR="00FA69B5">
              <w:rPr>
                <w:rFonts w:ascii="Verdana" w:hAnsi="Verdana" w:cs="Verdana"/>
                <w:bCs/>
                <w:sz w:val="24"/>
                <w:szCs w:val="24"/>
              </w:rPr>
              <w:t>abril</w:t>
            </w:r>
            <w:r w:rsidRPr="00110587">
              <w:rPr>
                <w:rFonts w:ascii="Verdana" w:hAnsi="Verdana" w:cs="Verdana"/>
                <w:bCs/>
                <w:sz w:val="24"/>
                <w:szCs w:val="24"/>
              </w:rPr>
              <w:t xml:space="preserve"> de 201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4, </w:t>
            </w:r>
            <w:r w:rsidR="00735585">
              <w:rPr>
                <w:rFonts w:ascii="Verdana" w:hAnsi="Verdana" w:cs="Verdana"/>
                <w:bCs/>
                <w:sz w:val="24"/>
                <w:szCs w:val="24"/>
              </w:rPr>
              <w:t>fatores que são desfavoráveis</w:t>
            </w:r>
            <w:r w:rsidR="008C274D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ao consumo.</w:t>
            </w:r>
            <w:r w:rsidR="00EE2F31">
              <w:rPr>
                <w:rFonts w:ascii="Verdana" w:hAnsi="Verdana" w:cs="Verdana"/>
                <w:bCs/>
                <w:sz w:val="24"/>
                <w:szCs w:val="24"/>
              </w:rPr>
              <w:t xml:space="preserve"> Pode-se observar no gráfico 02 que este é o menor valor apresentando nessa base de comparação desde 2007, mesmo em ano de crise internacional (2008 e 2009) o comércio conseguiu segurar suas vendas.</w:t>
            </w:r>
          </w:p>
          <w:p w:rsidR="00EE2F31" w:rsidRDefault="00EE2F31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EE2F31" w:rsidRPr="00EE2F31" w:rsidRDefault="00EE2F31" w:rsidP="00EE2F31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>Igual Mês do ano anterior – GRÁFICO 02</w:t>
            </w:r>
          </w:p>
          <w:p w:rsidR="00EE2F31" w:rsidRDefault="00EE2F31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AF40C5" w:rsidRDefault="009F157E" w:rsidP="00AF40C5">
            <w:pPr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4BEAD2" wp14:editId="087C6C09">
                  <wp:extent cx="5429250" cy="2938463"/>
                  <wp:effectExtent l="0" t="0" r="19050" b="14605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E2F31" w:rsidRPr="00EE2F31" w:rsidRDefault="00EE2F31" w:rsidP="00EE2F31">
            <w:pPr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  <w:p w:rsidR="00AF40C5" w:rsidRDefault="000A67B7" w:rsidP="000A67B7">
            <w:pPr>
              <w:pStyle w:val="Recuodecorpodetexto3"/>
              <w:spacing w:line="360" w:lineRule="auto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  <w:t>V</w:t>
            </w:r>
          </w:p>
          <w:p w:rsidR="003E6583" w:rsidRPr="009E179E" w:rsidRDefault="003E6583" w:rsidP="000A67B7">
            <w:pPr>
              <w:pStyle w:val="Recuodecorpodetexto3"/>
              <w:spacing w:line="360" w:lineRule="auto"/>
              <w:rPr>
                <w:rFonts w:ascii="Verdana" w:hAnsi="Verdana" w:cs="Verdana"/>
                <w:b/>
                <w:bCs/>
                <w:color w:val="FFFFFF" w:themeColor="background1"/>
                <w:u w:val="single"/>
              </w:rPr>
            </w:pPr>
          </w:p>
        </w:tc>
      </w:tr>
      <w:tr w:rsidR="000A29BF" w:rsidRPr="009E179E" w:rsidTr="00B85664">
        <w:tc>
          <w:tcPr>
            <w:tcW w:w="10345" w:type="dxa"/>
            <w:shd w:val="clear" w:color="auto" w:fill="89AAD3"/>
            <w:vAlign w:val="center"/>
          </w:tcPr>
          <w:p w:rsidR="000A29BF" w:rsidRPr="0019706F" w:rsidRDefault="000A29BF" w:rsidP="004C293C">
            <w:pPr>
              <w:spacing w:before="120" w:after="120" w:line="36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lastRenderedPageBreak/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III</w:t>
            </w: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Igual Período do Ano Anterior 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proofErr w:type="gramStart"/>
            <w:r w:rsidR="004C293C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Ab</w:t>
            </w:r>
            <w:r w:rsidR="00AF40C5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r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</w:t>
            </w:r>
            <w:proofErr w:type="gramEnd"/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15)/(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4C293C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Ab</w:t>
            </w:r>
            <w:r w:rsidR="00AF40C5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r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.14)</w:t>
            </w:r>
          </w:p>
        </w:tc>
      </w:tr>
      <w:tr w:rsidR="000A29BF" w:rsidRPr="009E179E" w:rsidTr="000A67B7">
        <w:tc>
          <w:tcPr>
            <w:tcW w:w="10345" w:type="dxa"/>
            <w:shd w:val="clear" w:color="auto" w:fill="auto"/>
            <w:vAlign w:val="center"/>
          </w:tcPr>
          <w:p w:rsidR="00AF40C5" w:rsidRDefault="00AF40C5" w:rsidP="00AF40C5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146A71">
              <w:rPr>
                <w:rFonts w:ascii="Verdana" w:hAnsi="Verdana" w:cs="Verdana"/>
                <w:bCs/>
                <w:sz w:val="24"/>
                <w:szCs w:val="24"/>
              </w:rPr>
              <w:t xml:space="preserve">No acumulado do ano o varejo acumula </w:t>
            </w:r>
            <w:r w:rsidRPr="00146A71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queda de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-</w:t>
            </w:r>
            <w:r w:rsidR="000A67B7">
              <w:rPr>
                <w:rFonts w:ascii="Verdana" w:hAnsi="Verdana" w:cs="Verdana"/>
                <w:b/>
                <w:bCs/>
                <w:sz w:val="24"/>
                <w:szCs w:val="24"/>
              </w:rPr>
              <w:t>2,07</w:t>
            </w:r>
            <w:r w:rsidRPr="00146A71">
              <w:rPr>
                <w:rFonts w:ascii="Verdana" w:hAnsi="Verdana" w:cs="Verdana"/>
                <w:b/>
                <w:bCs/>
                <w:sz w:val="24"/>
                <w:szCs w:val="24"/>
              </w:rPr>
              <w:t>%</w:t>
            </w:r>
            <w:r w:rsidRPr="00146A71">
              <w:rPr>
                <w:rFonts w:ascii="Verdana" w:hAnsi="Verdana" w:cs="Verdana"/>
                <w:bCs/>
                <w:sz w:val="24"/>
                <w:szCs w:val="24"/>
              </w:rPr>
              <w:t xml:space="preserve">.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Esse decréscimo é fruto da menor atividade no cenário macroeconômico.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Com um cenário mais adverso este ano em relação ao mesmo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período do ano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passado, com juros maiores (Selic em </w:t>
            </w:r>
            <w:proofErr w:type="spellStart"/>
            <w:r w:rsidR="008F1F7D">
              <w:rPr>
                <w:rFonts w:ascii="Verdana" w:hAnsi="Verdana" w:cs="Verdana"/>
                <w:bCs/>
                <w:sz w:val="24"/>
                <w:szCs w:val="24"/>
              </w:rPr>
              <w:t>Abr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14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era de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11,0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%, já em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Ab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r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.15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13,25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>%), aumento do índice de desocupação (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Ab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r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>.14 era de 3,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6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% e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Abr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.15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5,55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%, segundo o IBGE), queda da renda real (queda de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–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4,14</w:t>
            </w:r>
            <w:r w:rsidRPr="00A96FB2">
              <w:rPr>
                <w:rFonts w:ascii="Verdana" w:hAnsi="Verdana" w:cs="Verdana"/>
                <w:bCs/>
                <w:sz w:val="24"/>
                <w:szCs w:val="24"/>
              </w:rPr>
              <w:t>%, segundo o IBGE) e alta da inflação (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no acumulado do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 xml:space="preserve"> ano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de 2015 o 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IPCA 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4,56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% e no mesmo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período do ano passado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 de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2,</w:t>
            </w:r>
            <w:r w:rsidR="008F1F7D">
              <w:rPr>
                <w:rFonts w:ascii="Verdana" w:hAnsi="Verdana" w:cs="Verdana"/>
                <w:bCs/>
                <w:sz w:val="24"/>
                <w:szCs w:val="24"/>
              </w:rPr>
              <w:t>86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%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>), são fatores que além de ter um impacto psicológico negativo nos consumidores, tem um impacto econômico direto, pois com u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m</w:t>
            </w:r>
            <w:r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 aumento dos juros as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instituições financeiras bem como o varejo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>diminuiu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a oferta de crédito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o que impacta nas vendas de bens de maior valor agregado 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>que tradicionalmente estão ligados ao financiamento.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 Além disso, com o</w:t>
            </w:r>
            <w:r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aumento no custo de vida, </w:t>
            </w:r>
            <w:r>
              <w:rPr>
                <w:rFonts w:ascii="Verdana" w:hAnsi="Verdana" w:cs="Verdana"/>
                <w:bCs/>
                <w:sz w:val="24"/>
                <w:szCs w:val="24"/>
              </w:rPr>
              <w:t xml:space="preserve">devido à inflação e perda na </w:t>
            </w:r>
            <w:r w:rsidRPr="002A2EB2">
              <w:rPr>
                <w:rFonts w:ascii="Verdana" w:hAnsi="Verdana" w:cs="Verdana"/>
                <w:bCs/>
                <w:sz w:val="24"/>
                <w:szCs w:val="24"/>
              </w:rPr>
              <w:t xml:space="preserve">renda, os consumidores </w:t>
            </w:r>
            <w:r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estão cada vez mais sendo pressionados a diminuírem seu consumo. </w:t>
            </w:r>
          </w:p>
          <w:p w:rsidR="000A67B7" w:rsidRPr="00EE2F31" w:rsidRDefault="000A67B7" w:rsidP="000A67B7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Acumulado do </w:t>
            </w:r>
            <w:r w:rsidRPr="00EE2F31">
              <w:rPr>
                <w:rFonts w:ascii="Verdana" w:hAnsi="Verdana" w:cs="Verdana"/>
                <w:b/>
                <w:bCs/>
                <w:sz w:val="24"/>
                <w:szCs w:val="24"/>
              </w:rPr>
              <w:t>ano anterior – GRÁFICO 0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  <w:p w:rsidR="00A17952" w:rsidRDefault="000A67B7" w:rsidP="004C293C">
            <w:pPr>
              <w:pStyle w:val="NormalWeb"/>
              <w:shd w:val="clear" w:color="auto" w:fill="FFFFFF"/>
              <w:spacing w:before="240" w:line="360" w:lineRule="auto"/>
              <w:ind w:firstLine="709"/>
              <w:rPr>
                <w:b/>
                <w:bCs/>
                <w:color w:val="FFFFFF" w:themeColor="background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493E68" wp14:editId="1CEBEAE8">
                  <wp:extent cx="5514975" cy="3324225"/>
                  <wp:effectExtent l="0" t="0" r="9525" b="9525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0A67B7" w:rsidRPr="002D7D4D" w:rsidRDefault="000A67B7" w:rsidP="000A67B7">
            <w:pPr>
              <w:spacing w:line="360" w:lineRule="auto"/>
              <w:ind w:firstLine="709"/>
              <w:jc w:val="both"/>
              <w:rPr>
                <w:b/>
                <w:bCs/>
                <w:color w:val="FFFFFF" w:themeColor="background1"/>
                <w:u w:val="single"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</w:p>
        </w:tc>
      </w:tr>
      <w:tr w:rsidR="002D7D4D" w:rsidRPr="002D7D4D" w:rsidTr="002D7D4D">
        <w:tc>
          <w:tcPr>
            <w:tcW w:w="10345" w:type="dxa"/>
            <w:shd w:val="clear" w:color="auto" w:fill="89AAD3"/>
            <w:vAlign w:val="center"/>
          </w:tcPr>
          <w:p w:rsidR="002D7D4D" w:rsidRPr="002D7D4D" w:rsidRDefault="00A17952" w:rsidP="004C293C">
            <w:pPr>
              <w:spacing w:before="120" w:after="120" w:line="360" w:lineRule="auto"/>
              <w:jc w:val="both"/>
              <w:rPr>
                <w:rFonts w:ascii="Verdana" w:hAnsi="Verdana" w:cs="Verdana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lastRenderedPageBreak/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IV</w:t>
            </w:r>
            <w:r w:rsidR="000A29BF"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Últimos Doze Meses (</w:t>
            </w:r>
            <w:proofErr w:type="gramStart"/>
            <w:r w:rsidR="004C293C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Maio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</w:t>
            </w:r>
            <w:proofErr w:type="gramEnd"/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1</w:t>
            </w:r>
            <w:r w:rsidR="0093727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4C293C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Ab</w:t>
            </w:r>
            <w:r w:rsidR="00AF40C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r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/</w:t>
            </w:r>
            <w:r w:rsidR="004C293C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Maio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3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 w:rsidR="004C293C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Abr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)</w:t>
            </w:r>
          </w:p>
        </w:tc>
      </w:tr>
      <w:tr w:rsidR="002D7D4D" w:rsidRPr="002D7D4D" w:rsidTr="002A2EB2">
        <w:tc>
          <w:tcPr>
            <w:tcW w:w="10345" w:type="dxa"/>
            <w:shd w:val="clear" w:color="auto" w:fill="auto"/>
            <w:vAlign w:val="center"/>
          </w:tcPr>
          <w:p w:rsidR="00AF40C5" w:rsidRPr="009B50CE" w:rsidRDefault="00AF40C5" w:rsidP="00AF40C5">
            <w:pPr>
              <w:pStyle w:val="NormalWeb"/>
              <w:shd w:val="clear" w:color="auto" w:fill="FFFFFF"/>
              <w:spacing w:after="120" w:line="360" w:lineRule="auto"/>
              <w:ind w:firstLine="0"/>
            </w:pPr>
            <w:r w:rsidRPr="004F51B0">
              <w:rPr>
                <w:rFonts w:cs="Tahoma"/>
              </w:rPr>
              <w:t>No acumulado de 12 meses</w:t>
            </w:r>
            <w:r>
              <w:rPr>
                <w:rFonts w:cs="Tahoma"/>
              </w:rPr>
              <w:t xml:space="preserve">, o varejo apresentou queda </w:t>
            </w:r>
            <w:r w:rsidRPr="004F51B0">
              <w:rPr>
                <w:rFonts w:cs="Tahoma"/>
                <w:b/>
              </w:rPr>
              <w:t>de</w:t>
            </w:r>
            <w:r w:rsidRPr="004F51B0">
              <w:rPr>
                <w:rFonts w:cs="Tahoma"/>
              </w:rPr>
              <w:t xml:space="preserve"> </w:t>
            </w:r>
            <w:r>
              <w:rPr>
                <w:rFonts w:cs="Tahoma"/>
                <w:b/>
              </w:rPr>
              <w:t>-</w:t>
            </w:r>
            <w:r w:rsidR="000A67B7">
              <w:rPr>
                <w:rFonts w:cs="Tahoma"/>
                <w:b/>
              </w:rPr>
              <w:t>1,30</w:t>
            </w:r>
            <w:r w:rsidRPr="004F51B0">
              <w:rPr>
                <w:rFonts w:cs="Tahoma"/>
                <w:b/>
                <w:bCs/>
              </w:rPr>
              <w:t>%</w:t>
            </w:r>
            <w:r w:rsidRPr="004F51B0">
              <w:rPr>
                <w:rFonts w:cs="Tahoma"/>
                <w:b/>
              </w:rPr>
              <w:t xml:space="preserve">. </w:t>
            </w:r>
            <w:r w:rsidRPr="0013138F">
              <w:rPr>
                <w:rFonts w:cs="Tahoma"/>
              </w:rPr>
              <w:t>E</w:t>
            </w:r>
            <w:r w:rsidRPr="004F51B0">
              <w:rPr>
                <w:rFonts w:cs="Tahoma"/>
              </w:rPr>
              <w:t xml:space="preserve">ste índice tem apresentado sucessivas reduções de seu valor, conforme visualizado no gráfico abaixo, demonstrando uma diminuição na intensidade da atividade comercial em Belo Horizonte. </w:t>
            </w:r>
            <w:r w:rsidRPr="006D15B3">
              <w:rPr>
                <w:rFonts w:cs="Tahoma"/>
              </w:rPr>
              <w:t xml:space="preserve">O índice de desemprego na capital mineira apresentou alta a renda média real apresentou queda. Ao mesmo tempo, </w:t>
            </w:r>
            <w:r w:rsidRPr="009B50CE">
              <w:t xml:space="preserve">a alta do dólar e dos preços administrados (como telefonia, água, energia, combustíveis e tarifas de ônibus, entre outros) </w:t>
            </w:r>
            <w:r>
              <w:t>vem pressionando</w:t>
            </w:r>
            <w:r w:rsidRPr="009B50CE">
              <w:t xml:space="preserve"> os preços em 2015. Além disso, a inflação de serviços, impulsionada pelos ganhos reais de salários, segue elevada.</w:t>
            </w:r>
          </w:p>
          <w:p w:rsidR="008C274D" w:rsidRDefault="00AF40C5" w:rsidP="000A67B7">
            <w:pPr>
              <w:pStyle w:val="NormalWeb"/>
              <w:shd w:val="clear" w:color="auto" w:fill="FFFFFF"/>
              <w:spacing w:after="120" w:line="360" w:lineRule="auto"/>
              <w:ind w:firstLine="70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="Tahoma"/>
              </w:rPr>
              <w:t xml:space="preserve"> Nesse sentido,</w:t>
            </w:r>
            <w:r w:rsidRPr="004F51B0">
              <w:rPr>
                <w:rFonts w:cs="Tahoma"/>
              </w:rPr>
              <w:t xml:space="preserve"> menos pessoas dispõem de renda livre para consumo, pois seus orçamentos já estão comprometidos com os custos básicos, e preferem ficar mais cautelosos quanto ao consumo considerado supérfluo, para evitar dívidas que futuramente não possam pagar.</w:t>
            </w:r>
            <w:r>
              <w:rPr>
                <w:rFonts w:cs="Tahoma"/>
              </w:rPr>
              <w:t xml:space="preserve"> A </w:t>
            </w:r>
            <w:r>
              <w:rPr>
                <w:color w:val="000000"/>
              </w:rPr>
              <w:t>tendência das vendas para os próximos meses é de repetição do cenário mais desaquecido visto em 2014. Sem indícios de recuperação da economia, os consumidores vão continuar mais cautelosos e sem se comprometer com compras principalmente a prazo.</w:t>
            </w:r>
          </w:p>
          <w:p w:rsidR="00AF40C5" w:rsidRDefault="00AF40C5" w:rsidP="005655D7">
            <w:pPr>
              <w:pStyle w:val="Recuodecorpodetexto3"/>
              <w:ind w:firstLine="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C3EBF" w:rsidRPr="002C3EBF" w:rsidRDefault="002C3EBF" w:rsidP="002C3EBF">
            <w:pPr>
              <w:pStyle w:val="Recuodecorpodetexto3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EBF">
              <w:rPr>
                <w:rFonts w:ascii="Arial" w:hAnsi="Arial" w:cs="Arial"/>
                <w:b/>
                <w:bCs/>
                <w:sz w:val="28"/>
                <w:szCs w:val="28"/>
              </w:rPr>
              <w:t>Gráfico 1: Evolução das vendas na comparação com últimos 12 meses</w:t>
            </w:r>
          </w:p>
          <w:p w:rsidR="004F51B0" w:rsidRDefault="002A2EB2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62EFF1" wp14:editId="3A9BB39D">
                  <wp:extent cx="6301409" cy="2941983"/>
                  <wp:effectExtent l="0" t="0" r="4445" b="0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B85664" w:rsidRPr="002D7D4D" w:rsidRDefault="002A2EB2" w:rsidP="00B85664">
            <w:pPr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  <w:r w:rsidRPr="00EE2F31">
              <w:rPr>
                <w:rFonts w:ascii="Verdana" w:hAnsi="Verdana" w:cs="Verdana"/>
                <w:b/>
                <w:bCs/>
              </w:rPr>
              <w:t>Fonte: Setor de Economia e Pesquisa – CDL/BH</w:t>
            </w: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 </w:t>
            </w:r>
          </w:p>
        </w:tc>
      </w:tr>
    </w:tbl>
    <w:p w:rsidR="00B85664" w:rsidRDefault="00B85664" w:rsidP="00B31C5C">
      <w:pPr>
        <w:autoSpaceDE w:val="0"/>
        <w:autoSpaceDN w:val="0"/>
        <w:adjustRightInd w:val="0"/>
        <w:rPr>
          <w:rFonts w:ascii="Verdana" w:hAnsi="Verdana" w:cs="Verdana"/>
          <w:color w:val="FF0000"/>
        </w:rPr>
      </w:pP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269"/>
        <w:gridCol w:w="2172"/>
        <w:gridCol w:w="2530"/>
        <w:gridCol w:w="2140"/>
      </w:tblGrid>
      <w:tr w:rsidR="003C4FDA" w:rsidRPr="002D7D4D" w:rsidTr="003C4FDA">
        <w:trPr>
          <w:trHeight w:val="239"/>
          <w:jc w:val="center"/>
        </w:trPr>
        <w:tc>
          <w:tcPr>
            <w:tcW w:w="1931" w:type="dxa"/>
            <w:vMerge w:val="restart"/>
            <w:shd w:val="clear" w:color="auto" w:fill="89AAD3"/>
            <w:vAlign w:val="center"/>
          </w:tcPr>
          <w:p w:rsidR="003C4FDA" w:rsidRPr="002D7D4D" w:rsidRDefault="003C4FDA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Mês/Ano</w:t>
            </w:r>
          </w:p>
        </w:tc>
        <w:tc>
          <w:tcPr>
            <w:tcW w:w="6971" w:type="dxa"/>
            <w:gridSpan w:val="3"/>
            <w:shd w:val="clear" w:color="auto" w:fill="4F81BD"/>
            <w:vAlign w:val="center"/>
          </w:tcPr>
          <w:p w:rsidR="003C4FDA" w:rsidRPr="002D7D4D" w:rsidRDefault="003C4FDA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</w:rPr>
              <w:t>Síntese dos resultados (%)</w:t>
            </w:r>
          </w:p>
        </w:tc>
        <w:tc>
          <w:tcPr>
            <w:tcW w:w="2140" w:type="dxa"/>
            <w:shd w:val="clear" w:color="auto" w:fill="4F81BD"/>
          </w:tcPr>
          <w:p w:rsidR="003C4FDA" w:rsidRPr="002D7D4D" w:rsidRDefault="003C4FDA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</w:p>
        </w:tc>
      </w:tr>
      <w:tr w:rsidR="003C4FDA" w:rsidRPr="009E179E" w:rsidTr="003C4FDA">
        <w:trPr>
          <w:trHeight w:val="307"/>
          <w:jc w:val="center"/>
        </w:trPr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89AAD3"/>
            <w:vAlign w:val="center"/>
          </w:tcPr>
          <w:p w:rsidR="003C4FDA" w:rsidRPr="009E179E" w:rsidRDefault="003C4FDA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269" w:type="dxa"/>
            <w:shd w:val="clear" w:color="auto" w:fill="89AAD3"/>
            <w:vAlign w:val="center"/>
          </w:tcPr>
          <w:p w:rsidR="003C4FDA" w:rsidRPr="002D7D4D" w:rsidRDefault="00AC6FD3" w:rsidP="00AC6FD3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Ab</w:t>
            </w:r>
            <w:r w:rsidR="003C4FDA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r</w:t>
            </w:r>
            <w:proofErr w:type="spellEnd"/>
            <w:r w:rsidR="003C4FDA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/</w:t>
            </w: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Mar</w:t>
            </w:r>
          </w:p>
        </w:tc>
        <w:tc>
          <w:tcPr>
            <w:tcW w:w="2172" w:type="dxa"/>
            <w:shd w:val="clear" w:color="auto" w:fill="89AAD3"/>
            <w:vAlign w:val="center"/>
          </w:tcPr>
          <w:p w:rsidR="003C4FDA" w:rsidRPr="002D7D4D" w:rsidRDefault="00AC6FD3" w:rsidP="00AC6FD3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Ab</w:t>
            </w:r>
            <w:r w:rsidR="003C4FDA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r</w:t>
            </w:r>
            <w:proofErr w:type="spellEnd"/>
            <w:r w:rsidR="003C4FDA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/</w:t>
            </w:r>
            <w:proofErr w:type="spellStart"/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Ab</w:t>
            </w:r>
            <w:r w:rsidR="003C4FDA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r</w:t>
            </w:r>
            <w:proofErr w:type="spellEnd"/>
          </w:p>
        </w:tc>
        <w:tc>
          <w:tcPr>
            <w:tcW w:w="2530" w:type="dxa"/>
            <w:shd w:val="clear" w:color="auto" w:fill="89AAD3"/>
            <w:vAlign w:val="center"/>
          </w:tcPr>
          <w:p w:rsidR="003C4FDA" w:rsidRPr="00A957D5" w:rsidRDefault="003C4FDA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Acumulado do ano</w:t>
            </w:r>
            <w:r w:rsidRPr="00A957D5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2140" w:type="dxa"/>
            <w:shd w:val="clear" w:color="auto" w:fill="89AAD3"/>
          </w:tcPr>
          <w:p w:rsidR="003C4FDA" w:rsidRDefault="003C4FDA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Últimos 12 meses</w:t>
            </w:r>
          </w:p>
        </w:tc>
      </w:tr>
      <w:tr w:rsidR="00F63793" w:rsidRPr="003C4FDA" w:rsidTr="00C479F7">
        <w:trPr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2007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-2,7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</w:rPr>
            </w:pPr>
            <w:r w:rsidRPr="00D33408">
              <w:rPr>
                <w:rFonts w:ascii="Verdana" w:hAnsi="Verdana" w:cs="Arial"/>
                <w:bCs/>
                <w:sz w:val="24"/>
              </w:rPr>
              <w:t>+11,2</w:t>
            </w:r>
          </w:p>
        </w:tc>
        <w:tc>
          <w:tcPr>
            <w:tcW w:w="2530" w:type="dxa"/>
          </w:tcPr>
          <w:p w:rsidR="00F63793" w:rsidRPr="003C4FDA" w:rsidRDefault="00F63793" w:rsidP="00A61A2C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A61A2C">
              <w:rPr>
                <w:rFonts w:ascii="Verdana" w:hAnsi="Verdana"/>
                <w:bCs/>
                <w:sz w:val="24"/>
                <w:szCs w:val="24"/>
              </w:rPr>
              <w:t>6,0</w:t>
            </w:r>
          </w:p>
        </w:tc>
        <w:tc>
          <w:tcPr>
            <w:tcW w:w="2140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</w:rPr>
            </w:pPr>
            <w:r w:rsidRPr="00D33408">
              <w:rPr>
                <w:rFonts w:ascii="Verdana" w:hAnsi="Verdana" w:cs="Arial"/>
                <w:bCs/>
                <w:sz w:val="24"/>
              </w:rPr>
              <w:t>+6,0</w:t>
            </w:r>
          </w:p>
        </w:tc>
      </w:tr>
      <w:tr w:rsidR="00F63793" w:rsidRPr="003C4FDA" w:rsidTr="00C479F7">
        <w:trPr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2008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-1,6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+8,2</w:t>
            </w:r>
          </w:p>
        </w:tc>
        <w:tc>
          <w:tcPr>
            <w:tcW w:w="2530" w:type="dxa"/>
          </w:tcPr>
          <w:p w:rsidR="00F63793" w:rsidRPr="003C4FDA" w:rsidRDefault="00F63793" w:rsidP="00A61A2C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A61A2C">
              <w:rPr>
                <w:rFonts w:ascii="Verdana" w:hAnsi="Verdana"/>
                <w:bCs/>
                <w:sz w:val="24"/>
                <w:szCs w:val="24"/>
              </w:rPr>
              <w:t>8,2</w:t>
            </w:r>
          </w:p>
        </w:tc>
        <w:tc>
          <w:tcPr>
            <w:tcW w:w="2140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+6,2</w:t>
            </w:r>
          </w:p>
        </w:tc>
      </w:tr>
      <w:tr w:rsidR="00F63793" w:rsidRPr="003C4FDA" w:rsidTr="00C479F7">
        <w:trPr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2009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+3,6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+1,1</w:t>
            </w:r>
          </w:p>
        </w:tc>
        <w:tc>
          <w:tcPr>
            <w:tcW w:w="2530" w:type="dxa"/>
          </w:tcPr>
          <w:p w:rsidR="00F63793" w:rsidRPr="003C4FDA" w:rsidRDefault="00F63793" w:rsidP="00A61A2C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A61A2C">
              <w:rPr>
                <w:rFonts w:ascii="Verdana" w:hAnsi="Verdana"/>
                <w:bCs/>
                <w:sz w:val="24"/>
                <w:szCs w:val="24"/>
              </w:rPr>
              <w:t>3,3</w:t>
            </w:r>
          </w:p>
        </w:tc>
        <w:tc>
          <w:tcPr>
            <w:tcW w:w="2140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+2,4</w:t>
            </w:r>
          </w:p>
        </w:tc>
      </w:tr>
      <w:tr w:rsidR="00F63793" w:rsidRPr="003C4FDA" w:rsidTr="00C479F7">
        <w:trPr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2010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-2,3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+3,8</w:t>
            </w:r>
          </w:p>
        </w:tc>
        <w:tc>
          <w:tcPr>
            <w:tcW w:w="2530" w:type="dxa"/>
          </w:tcPr>
          <w:p w:rsidR="00F63793" w:rsidRPr="003C4FDA" w:rsidRDefault="00F63793" w:rsidP="00A61A2C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A61A2C">
              <w:rPr>
                <w:rFonts w:ascii="Verdana" w:hAnsi="Verdana"/>
                <w:bCs/>
                <w:sz w:val="24"/>
                <w:szCs w:val="24"/>
              </w:rPr>
              <w:t>4,9</w:t>
            </w:r>
          </w:p>
        </w:tc>
        <w:tc>
          <w:tcPr>
            <w:tcW w:w="2140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+5,3</w:t>
            </w:r>
          </w:p>
        </w:tc>
      </w:tr>
      <w:tr w:rsidR="00F63793" w:rsidRPr="003C4FDA" w:rsidTr="00C479F7">
        <w:trPr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2011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+2,97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+4,86</w:t>
            </w:r>
          </w:p>
        </w:tc>
        <w:tc>
          <w:tcPr>
            <w:tcW w:w="2530" w:type="dxa"/>
          </w:tcPr>
          <w:p w:rsidR="00F63793" w:rsidRPr="003C4FDA" w:rsidRDefault="00F63793" w:rsidP="00A61A2C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+5,</w:t>
            </w:r>
            <w:r w:rsidR="00A61A2C">
              <w:rPr>
                <w:rFonts w:ascii="Verdana" w:hAnsi="Verdana"/>
                <w:bCs/>
                <w:sz w:val="24"/>
                <w:szCs w:val="24"/>
              </w:rPr>
              <w:t>76</w:t>
            </w:r>
          </w:p>
        </w:tc>
        <w:tc>
          <w:tcPr>
            <w:tcW w:w="2140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+5,89</w:t>
            </w:r>
          </w:p>
        </w:tc>
      </w:tr>
      <w:tr w:rsidR="00F63793" w:rsidRPr="003C4FDA" w:rsidTr="00C479F7">
        <w:trPr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2012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-0,51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+1,27</w:t>
            </w:r>
          </w:p>
        </w:tc>
        <w:tc>
          <w:tcPr>
            <w:tcW w:w="2530" w:type="dxa"/>
          </w:tcPr>
          <w:p w:rsidR="00F63793" w:rsidRPr="003C4FDA" w:rsidRDefault="00F63793" w:rsidP="001B7E1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1B7E17">
              <w:rPr>
                <w:rFonts w:ascii="Verdana" w:hAnsi="Verdana"/>
                <w:bCs/>
                <w:sz w:val="24"/>
                <w:szCs w:val="24"/>
              </w:rPr>
              <w:t>4,16</w:t>
            </w:r>
          </w:p>
        </w:tc>
        <w:tc>
          <w:tcPr>
            <w:tcW w:w="2140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D3340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+3,01</w:t>
            </w:r>
          </w:p>
        </w:tc>
      </w:tr>
      <w:tr w:rsidR="00F63793" w:rsidRPr="003C4FDA" w:rsidTr="00C479F7">
        <w:trPr>
          <w:trHeight w:val="267"/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2013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-0,05</w:t>
            </w:r>
          </w:p>
        </w:tc>
        <w:tc>
          <w:tcPr>
            <w:tcW w:w="2172" w:type="dxa"/>
          </w:tcPr>
          <w:p w:rsidR="00F63793" w:rsidRPr="009C1237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9C1237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+1,83</w:t>
            </w:r>
          </w:p>
        </w:tc>
        <w:tc>
          <w:tcPr>
            <w:tcW w:w="2530" w:type="dxa"/>
          </w:tcPr>
          <w:p w:rsidR="00F63793" w:rsidRPr="003C4FDA" w:rsidRDefault="00F63793" w:rsidP="00DF4B96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DF4B96">
              <w:rPr>
                <w:rFonts w:ascii="Verdana" w:hAnsi="Verdana"/>
                <w:bCs/>
                <w:sz w:val="24"/>
                <w:szCs w:val="24"/>
              </w:rPr>
              <w:t>4,40</w:t>
            </w:r>
          </w:p>
        </w:tc>
        <w:tc>
          <w:tcPr>
            <w:tcW w:w="2140" w:type="dxa"/>
          </w:tcPr>
          <w:p w:rsidR="00F63793" w:rsidRPr="009C1237" w:rsidRDefault="00F63793" w:rsidP="00C479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9C1237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+9,46</w:t>
            </w:r>
          </w:p>
        </w:tc>
      </w:tr>
      <w:tr w:rsidR="00F63793" w:rsidRPr="003C4FDA" w:rsidTr="00C479F7">
        <w:trPr>
          <w:trHeight w:val="267"/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F63793" w:rsidRPr="003C4FDA" w:rsidRDefault="00F63793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2014</w:t>
            </w:r>
          </w:p>
        </w:tc>
        <w:tc>
          <w:tcPr>
            <w:tcW w:w="2269" w:type="dxa"/>
          </w:tcPr>
          <w:p w:rsidR="00F63793" w:rsidRPr="00AC6FD3" w:rsidRDefault="00F63793" w:rsidP="00C479F7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C6FD3">
              <w:rPr>
                <w:rFonts w:ascii="Verdana" w:hAnsi="Verdana"/>
                <w:bCs/>
                <w:sz w:val="24"/>
                <w:szCs w:val="24"/>
              </w:rPr>
              <w:t>+1,37</w:t>
            </w:r>
          </w:p>
        </w:tc>
        <w:tc>
          <w:tcPr>
            <w:tcW w:w="2172" w:type="dxa"/>
          </w:tcPr>
          <w:p w:rsidR="00F63793" w:rsidRPr="00D33408" w:rsidRDefault="00F63793" w:rsidP="00C479F7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F63793">
              <w:rPr>
                <w:rFonts w:ascii="Verdana" w:hAnsi="Verdana"/>
                <w:bCs/>
                <w:sz w:val="24"/>
                <w:szCs w:val="24"/>
              </w:rPr>
              <w:t>-0,16</w:t>
            </w:r>
          </w:p>
        </w:tc>
        <w:tc>
          <w:tcPr>
            <w:tcW w:w="2530" w:type="dxa"/>
          </w:tcPr>
          <w:p w:rsidR="00F63793" w:rsidRPr="003C4FDA" w:rsidRDefault="00F63793" w:rsidP="004C6380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+</w:t>
            </w:r>
            <w:r w:rsidR="004C6380">
              <w:rPr>
                <w:rFonts w:ascii="Verdana" w:hAnsi="Verdana"/>
                <w:bCs/>
                <w:sz w:val="24"/>
                <w:szCs w:val="24"/>
              </w:rPr>
              <w:t>2,11</w:t>
            </w:r>
          </w:p>
        </w:tc>
        <w:tc>
          <w:tcPr>
            <w:tcW w:w="2140" w:type="dxa"/>
          </w:tcPr>
          <w:p w:rsidR="00F63793" w:rsidRPr="00D33408" w:rsidRDefault="00F63793" w:rsidP="00A61A2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A61A2C">
              <w:rPr>
                <w:rFonts w:ascii="Verdana" w:hAnsi="Verdana"/>
                <w:bCs/>
                <w:sz w:val="24"/>
                <w:szCs w:val="24"/>
              </w:rPr>
              <w:t>+3,58</w:t>
            </w:r>
          </w:p>
        </w:tc>
      </w:tr>
      <w:tr w:rsidR="003C4FDA" w:rsidRPr="003C4FDA" w:rsidTr="008F1F7D">
        <w:trPr>
          <w:trHeight w:val="267"/>
          <w:jc w:val="center"/>
        </w:trPr>
        <w:tc>
          <w:tcPr>
            <w:tcW w:w="1931" w:type="dxa"/>
            <w:shd w:val="clear" w:color="auto" w:fill="89AAD3"/>
            <w:vAlign w:val="center"/>
          </w:tcPr>
          <w:p w:rsidR="003C4FDA" w:rsidRPr="003C4FDA" w:rsidRDefault="003C4FDA" w:rsidP="003C4FDA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Cs/>
                <w:sz w:val="24"/>
                <w:szCs w:val="24"/>
              </w:rPr>
              <w:t>2015</w:t>
            </w:r>
          </w:p>
        </w:tc>
        <w:tc>
          <w:tcPr>
            <w:tcW w:w="2269" w:type="dxa"/>
          </w:tcPr>
          <w:p w:rsidR="003C4FDA" w:rsidRPr="003C4FDA" w:rsidRDefault="00C065D6" w:rsidP="008F1F7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-1,35</w:t>
            </w:r>
          </w:p>
        </w:tc>
        <w:tc>
          <w:tcPr>
            <w:tcW w:w="2172" w:type="dxa"/>
          </w:tcPr>
          <w:p w:rsidR="003C4FDA" w:rsidRPr="003C4FDA" w:rsidRDefault="003C4FDA" w:rsidP="00C065D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/>
                <w:bCs/>
                <w:sz w:val="24"/>
                <w:szCs w:val="24"/>
              </w:rPr>
              <w:t>-</w:t>
            </w:r>
            <w:r w:rsidR="00C065D6">
              <w:rPr>
                <w:rFonts w:ascii="Verdana" w:hAnsi="Verdana"/>
                <w:b/>
                <w:bCs/>
                <w:sz w:val="24"/>
                <w:szCs w:val="24"/>
              </w:rPr>
              <w:t>4,29</w:t>
            </w:r>
          </w:p>
        </w:tc>
        <w:tc>
          <w:tcPr>
            <w:tcW w:w="2530" w:type="dxa"/>
          </w:tcPr>
          <w:p w:rsidR="003C4FDA" w:rsidRPr="003C4FDA" w:rsidRDefault="003C4FDA" w:rsidP="00C065D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/>
                <w:bCs/>
                <w:sz w:val="24"/>
                <w:szCs w:val="24"/>
              </w:rPr>
              <w:t>-</w:t>
            </w:r>
            <w:r w:rsidR="00C065D6">
              <w:rPr>
                <w:rFonts w:ascii="Verdana" w:hAnsi="Verdana"/>
                <w:b/>
                <w:bCs/>
                <w:sz w:val="24"/>
                <w:szCs w:val="24"/>
              </w:rPr>
              <w:t>2,07</w:t>
            </w:r>
          </w:p>
        </w:tc>
        <w:tc>
          <w:tcPr>
            <w:tcW w:w="2140" w:type="dxa"/>
            <w:vAlign w:val="bottom"/>
          </w:tcPr>
          <w:p w:rsidR="003C4FDA" w:rsidRPr="003C4FDA" w:rsidRDefault="003C4FDA" w:rsidP="00C065D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C4FDA">
              <w:rPr>
                <w:rFonts w:ascii="Verdana" w:hAnsi="Verdana"/>
                <w:b/>
                <w:bCs/>
                <w:sz w:val="24"/>
                <w:szCs w:val="24"/>
              </w:rPr>
              <w:t>-</w:t>
            </w:r>
            <w:r w:rsidR="00C065D6">
              <w:rPr>
                <w:rFonts w:ascii="Verdana" w:hAnsi="Verdana"/>
                <w:b/>
                <w:bCs/>
                <w:sz w:val="24"/>
                <w:szCs w:val="24"/>
              </w:rPr>
              <w:t>1,30</w:t>
            </w:r>
          </w:p>
        </w:tc>
      </w:tr>
    </w:tbl>
    <w:p w:rsidR="007214D4" w:rsidRPr="003C4FDA" w:rsidRDefault="007214D4" w:rsidP="003C4FDA">
      <w:pPr>
        <w:jc w:val="center"/>
        <w:rPr>
          <w:rFonts w:ascii="Verdana" w:hAnsi="Verdana"/>
          <w:bCs/>
          <w:sz w:val="24"/>
          <w:szCs w:val="24"/>
        </w:rPr>
      </w:pPr>
      <w:r w:rsidRPr="003C4FDA">
        <w:rPr>
          <w:rFonts w:ascii="Verdana" w:hAnsi="Verdana"/>
          <w:bCs/>
          <w:sz w:val="24"/>
          <w:szCs w:val="24"/>
        </w:rPr>
        <w:t>Fonte: CDL/BH – Pesquisa &amp; Mercado – Setor: Pesquisa e Desenvolvimento.</w:t>
      </w:r>
    </w:p>
    <w:p w:rsidR="009E0BBB" w:rsidRDefault="009E0BBB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2A2EB2" w:rsidRDefault="002A2EB2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2A2EB2" w:rsidRDefault="002A2EB2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3C4FDA" w:rsidRDefault="003C4FDA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93A6D" w:rsidRDefault="00A93A6D" w:rsidP="009F1EF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Verdana" w:hAnsi="Verdana" w:cs="Verdana"/>
          <w:color w:val="FF0000"/>
          <w:sz w:val="24"/>
          <w:szCs w:val="24"/>
        </w:rPr>
      </w:pPr>
    </w:p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86"/>
        <w:gridCol w:w="600"/>
        <w:gridCol w:w="600"/>
        <w:gridCol w:w="600"/>
        <w:gridCol w:w="600"/>
        <w:gridCol w:w="600"/>
        <w:gridCol w:w="600"/>
        <w:gridCol w:w="600"/>
        <w:gridCol w:w="600"/>
        <w:gridCol w:w="648"/>
        <w:gridCol w:w="672"/>
        <w:gridCol w:w="720"/>
        <w:gridCol w:w="720"/>
        <w:gridCol w:w="880"/>
      </w:tblGrid>
      <w:tr w:rsidR="00D56161" w:rsidRPr="00861F4D" w:rsidTr="00F6236C">
        <w:trPr>
          <w:jc w:val="center"/>
        </w:trPr>
        <w:tc>
          <w:tcPr>
            <w:tcW w:w="10284" w:type="dxa"/>
            <w:gridSpan w:val="15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9660A" w:rsidRPr="00861F4D" w:rsidRDefault="00AD5144" w:rsidP="00AA54D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S</w:t>
            </w:r>
            <w:r w:rsidR="00D9660A" w:rsidRPr="00861F4D">
              <w:rPr>
                <w:rFonts w:ascii="Verdana" w:hAnsi="Verdana" w:cs="Verdana"/>
                <w:b/>
                <w:bCs/>
                <w:sz w:val="28"/>
                <w:szCs w:val="28"/>
              </w:rPr>
              <w:t>íntese Estatística</w:t>
            </w:r>
          </w:p>
        </w:tc>
      </w:tr>
      <w:tr w:rsidR="00D56161" w:rsidRPr="00861F4D" w:rsidTr="002D7D4D">
        <w:trPr>
          <w:jc w:val="center"/>
        </w:trPr>
        <w:tc>
          <w:tcPr>
            <w:tcW w:w="10284" w:type="dxa"/>
            <w:gridSpan w:val="15"/>
            <w:shd w:val="clear" w:color="auto" w:fill="89AAD3"/>
            <w:vAlign w:val="center"/>
          </w:tcPr>
          <w:p w:rsidR="00D9660A" w:rsidRPr="00861F4D" w:rsidRDefault="00D9660A" w:rsidP="009E179E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– 201</w:t>
            </w:r>
            <w:r w:rsidR="009E179E" w:rsidRPr="00861F4D">
              <w:rPr>
                <w:rFonts w:ascii="Verdana" w:hAnsi="Verdana" w:cs="Verdana"/>
                <w:b/>
                <w:bCs/>
              </w:rPr>
              <w:t>4</w:t>
            </w:r>
            <w:r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D56161" w:rsidRPr="00861F4D" w:rsidTr="002D7D4D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Acum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Últ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12 meses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0,60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0,57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-0,13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-0,74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-0,27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0,20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0,28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0,98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-0,45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0,02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0,59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1,14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2,05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0,17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</w:t>
            </w:r>
            <w:proofErr w:type="spellStart"/>
            <w:r w:rsidRPr="00861F4D">
              <w:rPr>
                <w:rFonts w:ascii="Verdana" w:hAnsi="Verdana" w:cs="Verdana"/>
                <w:sz w:val="14"/>
                <w:szCs w:val="14"/>
              </w:rPr>
              <w:t>Sindusc</w:t>
            </w:r>
            <w:proofErr w:type="spellEnd"/>
            <w:r w:rsidRPr="00861F4D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1,71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2,77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1,91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-0,18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0,73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0,30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0,60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</w:tr>
      <w:tr w:rsidR="004A5B54" w:rsidRPr="00861F4D" w:rsidTr="00F6236C">
        <w:trPr>
          <w:cantSplit/>
          <w:jc w:val="center"/>
        </w:trPr>
        <w:tc>
          <w:tcPr>
            <w:tcW w:w="10284" w:type="dxa"/>
            <w:gridSpan w:val="15"/>
            <w:shd w:val="clear" w:color="auto" w:fill="89AAD3"/>
            <w:vAlign w:val="center"/>
          </w:tcPr>
          <w:p w:rsidR="00D9660A" w:rsidRPr="00861F4D" w:rsidRDefault="009E179E" w:rsidP="00AA54D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- 2015</w:t>
            </w:r>
            <w:r w:rsidR="00D9660A"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4A5B54" w:rsidRPr="00861F4D" w:rsidTr="00F6236C">
        <w:trPr>
          <w:trHeight w:val="496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Fev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  <w:proofErr w:type="spellEnd"/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Ago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Acum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61F4D">
              <w:rPr>
                <w:rFonts w:ascii="Verdana" w:hAnsi="Verdana" w:cs="Verdana"/>
                <w:sz w:val="16"/>
                <w:szCs w:val="16"/>
              </w:rPr>
              <w:t>Últ</w:t>
            </w:r>
            <w:proofErr w:type="spellEnd"/>
            <w:r w:rsidRPr="00861F4D">
              <w:rPr>
                <w:rFonts w:ascii="Verdana" w:hAnsi="Verdana" w:cs="Verdana"/>
                <w:sz w:val="16"/>
                <w:szCs w:val="16"/>
              </w:rPr>
              <w:t>. 12 meses</w:t>
            </w:r>
          </w:p>
        </w:tc>
      </w:tr>
      <w:tr w:rsidR="00AF40C5" w:rsidRPr="00861F4D" w:rsidTr="002A2EB2">
        <w:trPr>
          <w:trHeight w:val="73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</w:t>
            </w: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AF40C5" w:rsidRPr="00861F4D" w:rsidTr="00F6236C">
        <w:trPr>
          <w:trHeight w:val="209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2,71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CB78F2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1,16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1,51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4,95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8,34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1,22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1,32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0,71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4,61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8,17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0,98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1,17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BB5C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3,22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3,54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1,21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3,37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3,94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0,31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0,62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0,46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2,33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6,88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</w:t>
            </w:r>
            <w:proofErr w:type="spellStart"/>
            <w:r w:rsidRPr="00861F4D">
              <w:rPr>
                <w:rFonts w:ascii="Verdana" w:hAnsi="Verdana" w:cs="Verdana"/>
                <w:sz w:val="14"/>
                <w:szCs w:val="14"/>
              </w:rPr>
              <w:t>Sindusc</w:t>
            </w:r>
            <w:proofErr w:type="spellEnd"/>
            <w:r w:rsidRPr="00861F4D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0,10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0,34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0,83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6,71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2,51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1,36</w:t>
            </w:r>
          </w:p>
        </w:tc>
      </w:tr>
      <w:tr w:rsidR="00AF40C5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AF40C5" w:rsidRPr="00861F4D" w:rsidRDefault="00AF40C5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CB78F2" w:rsidRDefault="00AF40C5" w:rsidP="008F1F7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B78F2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F40C5" w:rsidRPr="00861F4D" w:rsidRDefault="0095103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861F4D" w:rsidRDefault="00AF40C5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2,36</w:t>
            </w:r>
          </w:p>
        </w:tc>
        <w:tc>
          <w:tcPr>
            <w:tcW w:w="880" w:type="dxa"/>
            <w:vAlign w:val="bottom"/>
          </w:tcPr>
          <w:p w:rsidR="00AF40C5" w:rsidRPr="00CB78F2" w:rsidRDefault="00951033" w:rsidP="008F1F7D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7,19</w:t>
            </w:r>
          </w:p>
        </w:tc>
      </w:tr>
    </w:tbl>
    <w:p w:rsidR="00D9660A" w:rsidRPr="00861F4D" w:rsidRDefault="00D9660A" w:rsidP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 xml:space="preserve">Fonte: IPEAD/UFMG, IBGE, FGV, </w:t>
      </w:r>
      <w:proofErr w:type="spellStart"/>
      <w:r w:rsidRPr="00861F4D">
        <w:rPr>
          <w:rFonts w:ascii="Verdana" w:hAnsi="Verdana" w:cs="Verdana"/>
          <w:b/>
          <w:bCs/>
        </w:rPr>
        <w:t>Sinduscon</w:t>
      </w:r>
      <w:proofErr w:type="spellEnd"/>
      <w:r w:rsidRPr="00861F4D">
        <w:rPr>
          <w:rFonts w:ascii="Verdana" w:hAnsi="Verdana" w:cs="Verdana"/>
          <w:b/>
          <w:bCs/>
        </w:rPr>
        <w:t xml:space="preserve">, Gazeta Mercantil, Banco Central do Brasil.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173"/>
      </w:tblGrid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SELIC</w:t>
            </w:r>
          </w:p>
        </w:tc>
        <w:tc>
          <w:tcPr>
            <w:tcW w:w="5173" w:type="dxa"/>
          </w:tcPr>
          <w:p w:rsidR="00D9660A" w:rsidRPr="00861F4D" w:rsidRDefault="00AF40C5" w:rsidP="00951033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>
              <w:rPr>
                <w:rFonts w:ascii="Verdana" w:hAnsi="Verdana" w:cs="Verdana"/>
                <w:sz w:val="24"/>
                <w:szCs w:val="24"/>
                <w:lang w:val="en-US"/>
              </w:rPr>
              <w:t>13,</w:t>
            </w:r>
            <w:r w:rsidR="00951033">
              <w:rPr>
                <w:rFonts w:ascii="Verdana" w:hAnsi="Verdana" w:cs="Verdana"/>
                <w:sz w:val="24"/>
                <w:szCs w:val="24"/>
                <w:lang w:val="en-US"/>
              </w:rPr>
              <w:t>7</w:t>
            </w:r>
            <w:r>
              <w:rPr>
                <w:rFonts w:ascii="Verdana" w:hAnsi="Verdana" w:cs="Verdana"/>
                <w:sz w:val="24"/>
                <w:szCs w:val="24"/>
                <w:lang w:val="en-US"/>
              </w:rPr>
              <w:t>5</w:t>
            </w:r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>a.a</w:t>
            </w:r>
            <w:proofErr w:type="spellEnd"/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</w:tr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TJLP</w:t>
            </w:r>
          </w:p>
        </w:tc>
        <w:tc>
          <w:tcPr>
            <w:tcW w:w="5173" w:type="dxa"/>
          </w:tcPr>
          <w:p w:rsidR="00D9660A" w:rsidRPr="00861F4D" w:rsidRDefault="00D9660A" w:rsidP="00AA54D7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5,5% </w:t>
            </w:r>
            <w:proofErr w:type="spellStart"/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>a.a</w:t>
            </w:r>
            <w:proofErr w:type="spellEnd"/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</w:tr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</w:rPr>
              <w:t xml:space="preserve">TX DE JUROS - EUA </w:t>
            </w:r>
          </w:p>
        </w:tc>
        <w:tc>
          <w:tcPr>
            <w:tcW w:w="5173" w:type="dxa"/>
          </w:tcPr>
          <w:p w:rsidR="00D9660A" w:rsidRPr="00861F4D" w:rsidRDefault="00D9660A" w:rsidP="00AA54D7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61F4D">
              <w:rPr>
                <w:rFonts w:ascii="Verdana" w:hAnsi="Verdana" w:cs="Verdana"/>
                <w:sz w:val="24"/>
                <w:szCs w:val="24"/>
              </w:rPr>
              <w:t>0,25% a.a.</w:t>
            </w:r>
          </w:p>
        </w:tc>
      </w:tr>
    </w:tbl>
    <w:p w:rsidR="00C75FCC" w:rsidRPr="00861F4D" w:rsidRDefault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>Fonte: CDL/BH – Pesquisa &amp; Mercado – Setor: Pesquisa e Desenvolvimento.</w:t>
      </w:r>
    </w:p>
    <w:sectPr w:rsidR="00C75FCC" w:rsidRPr="00861F4D" w:rsidSect="007F78EA">
      <w:pgSz w:w="11907" w:h="16840" w:code="9"/>
      <w:pgMar w:top="1418" w:right="851" w:bottom="1287" w:left="851" w:header="284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4C" w:rsidRDefault="006C274C">
      <w:r>
        <w:separator/>
      </w:r>
    </w:p>
  </w:endnote>
  <w:endnote w:type="continuationSeparator" w:id="0">
    <w:p w:rsidR="006C274C" w:rsidRDefault="006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al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31" w:rsidRDefault="00EE2F31" w:rsidP="00991887">
    <w:pPr>
      <w:pStyle w:val="Rodap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CDL/BH - Gerência de Pesquisa &amp; Mercado - Setor Pesquisa e Desenvolvimento</w:t>
    </w:r>
  </w:p>
  <w:p w:rsidR="00EE2F31" w:rsidRDefault="00EE2F31" w:rsidP="00991887">
    <w:pPr>
      <w:pStyle w:val="Rodap"/>
      <w:tabs>
        <w:tab w:val="center" w:pos="5102"/>
        <w:tab w:val="left" w:pos="8840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CONTATO: (31) 3249-1619- economia@cdlbh.com.br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4C" w:rsidRDefault="006C274C">
      <w:r>
        <w:separator/>
      </w:r>
    </w:p>
  </w:footnote>
  <w:footnote w:type="continuationSeparator" w:id="0">
    <w:p w:rsidR="006C274C" w:rsidRDefault="006C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31" w:rsidRPr="00ED2483" w:rsidRDefault="00EE2F31" w:rsidP="002F26B2">
    <w:pPr>
      <w:pStyle w:val="Cabealho"/>
      <w:tabs>
        <w:tab w:val="clear" w:pos="4419"/>
        <w:tab w:val="clear" w:pos="8838"/>
        <w:tab w:val="left" w:pos="4367"/>
      </w:tabs>
      <w:rPr>
        <w:noProof/>
      </w:rPr>
    </w:pPr>
    <w:r>
      <w:rPr>
        <w:noProof/>
      </w:rPr>
      <w:drawing>
        <wp:inline distT="0" distB="0" distL="0" distR="0">
          <wp:extent cx="1838960" cy="775335"/>
          <wp:effectExtent l="0" t="0" r="8890" b="571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7D"/>
    <w:multiLevelType w:val="hybridMultilevel"/>
    <w:tmpl w:val="313E5EA0"/>
    <w:lvl w:ilvl="0" w:tplc="09647B4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9A303E"/>
    <w:multiLevelType w:val="hybridMultilevel"/>
    <w:tmpl w:val="E46496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9"/>
    <w:rsid w:val="000004A7"/>
    <w:rsid w:val="000009BD"/>
    <w:rsid w:val="000020AD"/>
    <w:rsid w:val="000032F7"/>
    <w:rsid w:val="0000337B"/>
    <w:rsid w:val="00004D28"/>
    <w:rsid w:val="00004F79"/>
    <w:rsid w:val="00005375"/>
    <w:rsid w:val="0000663A"/>
    <w:rsid w:val="000115ED"/>
    <w:rsid w:val="00012A5C"/>
    <w:rsid w:val="0001417A"/>
    <w:rsid w:val="00014752"/>
    <w:rsid w:val="000147EE"/>
    <w:rsid w:val="00015733"/>
    <w:rsid w:val="00015817"/>
    <w:rsid w:val="00015F32"/>
    <w:rsid w:val="00016A59"/>
    <w:rsid w:val="000216B2"/>
    <w:rsid w:val="00022A97"/>
    <w:rsid w:val="00026A5C"/>
    <w:rsid w:val="0002714C"/>
    <w:rsid w:val="00031D49"/>
    <w:rsid w:val="0003222E"/>
    <w:rsid w:val="000339D0"/>
    <w:rsid w:val="00041E64"/>
    <w:rsid w:val="00043533"/>
    <w:rsid w:val="0004473B"/>
    <w:rsid w:val="000448CD"/>
    <w:rsid w:val="000465B6"/>
    <w:rsid w:val="00050224"/>
    <w:rsid w:val="00051AF4"/>
    <w:rsid w:val="000557EE"/>
    <w:rsid w:val="00055872"/>
    <w:rsid w:val="00055879"/>
    <w:rsid w:val="00056FD9"/>
    <w:rsid w:val="0005704D"/>
    <w:rsid w:val="00060996"/>
    <w:rsid w:val="00061396"/>
    <w:rsid w:val="000618D6"/>
    <w:rsid w:val="00061AC3"/>
    <w:rsid w:val="00062EAE"/>
    <w:rsid w:val="0006388B"/>
    <w:rsid w:val="00063BF1"/>
    <w:rsid w:val="00066409"/>
    <w:rsid w:val="00070319"/>
    <w:rsid w:val="000715EF"/>
    <w:rsid w:val="0007169E"/>
    <w:rsid w:val="00071B57"/>
    <w:rsid w:val="00071F63"/>
    <w:rsid w:val="00071FC1"/>
    <w:rsid w:val="000720DA"/>
    <w:rsid w:val="00073D72"/>
    <w:rsid w:val="0008050A"/>
    <w:rsid w:val="000816A1"/>
    <w:rsid w:val="000822BC"/>
    <w:rsid w:val="0008335D"/>
    <w:rsid w:val="00083D8F"/>
    <w:rsid w:val="000841B5"/>
    <w:rsid w:val="00085A18"/>
    <w:rsid w:val="00086570"/>
    <w:rsid w:val="00087510"/>
    <w:rsid w:val="00087B4E"/>
    <w:rsid w:val="00092BD2"/>
    <w:rsid w:val="000953A8"/>
    <w:rsid w:val="00095443"/>
    <w:rsid w:val="000968D6"/>
    <w:rsid w:val="00096B29"/>
    <w:rsid w:val="000A04A2"/>
    <w:rsid w:val="000A1EC6"/>
    <w:rsid w:val="000A29BF"/>
    <w:rsid w:val="000A2E9A"/>
    <w:rsid w:val="000A3198"/>
    <w:rsid w:val="000A3C5E"/>
    <w:rsid w:val="000A3FF5"/>
    <w:rsid w:val="000A4627"/>
    <w:rsid w:val="000A4DFD"/>
    <w:rsid w:val="000A67B7"/>
    <w:rsid w:val="000A6977"/>
    <w:rsid w:val="000A7387"/>
    <w:rsid w:val="000A73E9"/>
    <w:rsid w:val="000B0F0F"/>
    <w:rsid w:val="000B2848"/>
    <w:rsid w:val="000B285A"/>
    <w:rsid w:val="000B3996"/>
    <w:rsid w:val="000B729B"/>
    <w:rsid w:val="000B7F31"/>
    <w:rsid w:val="000C051F"/>
    <w:rsid w:val="000C1071"/>
    <w:rsid w:val="000C25A6"/>
    <w:rsid w:val="000C2DE0"/>
    <w:rsid w:val="000C5BB3"/>
    <w:rsid w:val="000C5BF0"/>
    <w:rsid w:val="000D08F7"/>
    <w:rsid w:val="000D0FC9"/>
    <w:rsid w:val="000D3093"/>
    <w:rsid w:val="000D4078"/>
    <w:rsid w:val="000D6FBA"/>
    <w:rsid w:val="000E0899"/>
    <w:rsid w:val="000E1114"/>
    <w:rsid w:val="000E1A1D"/>
    <w:rsid w:val="000E2458"/>
    <w:rsid w:val="000E26E0"/>
    <w:rsid w:val="000E2FC2"/>
    <w:rsid w:val="000E3A64"/>
    <w:rsid w:val="000E5AC9"/>
    <w:rsid w:val="000E6B78"/>
    <w:rsid w:val="000F1B95"/>
    <w:rsid w:val="000F1F2D"/>
    <w:rsid w:val="000F2970"/>
    <w:rsid w:val="000F37F1"/>
    <w:rsid w:val="000F3A9A"/>
    <w:rsid w:val="000F463B"/>
    <w:rsid w:val="000F4FB5"/>
    <w:rsid w:val="000F68D4"/>
    <w:rsid w:val="000F6A41"/>
    <w:rsid w:val="000F7CAF"/>
    <w:rsid w:val="00100A9B"/>
    <w:rsid w:val="00102DE7"/>
    <w:rsid w:val="00105245"/>
    <w:rsid w:val="00105280"/>
    <w:rsid w:val="00105FBA"/>
    <w:rsid w:val="00106795"/>
    <w:rsid w:val="001133D7"/>
    <w:rsid w:val="00113952"/>
    <w:rsid w:val="00113BE0"/>
    <w:rsid w:val="001161D5"/>
    <w:rsid w:val="0011770B"/>
    <w:rsid w:val="00120AA7"/>
    <w:rsid w:val="00120E2F"/>
    <w:rsid w:val="00121BE9"/>
    <w:rsid w:val="00122194"/>
    <w:rsid w:val="001236F8"/>
    <w:rsid w:val="00123704"/>
    <w:rsid w:val="001240F9"/>
    <w:rsid w:val="0012444B"/>
    <w:rsid w:val="00127B00"/>
    <w:rsid w:val="00127F82"/>
    <w:rsid w:val="00130C81"/>
    <w:rsid w:val="00131068"/>
    <w:rsid w:val="0013138F"/>
    <w:rsid w:val="00133BAC"/>
    <w:rsid w:val="001345FC"/>
    <w:rsid w:val="00134B5F"/>
    <w:rsid w:val="00136339"/>
    <w:rsid w:val="00136F7C"/>
    <w:rsid w:val="00137059"/>
    <w:rsid w:val="00140F38"/>
    <w:rsid w:val="00140FC6"/>
    <w:rsid w:val="0014243A"/>
    <w:rsid w:val="00142970"/>
    <w:rsid w:val="00142CA9"/>
    <w:rsid w:val="001431C4"/>
    <w:rsid w:val="001435A7"/>
    <w:rsid w:val="001442CF"/>
    <w:rsid w:val="00144344"/>
    <w:rsid w:val="00145F5C"/>
    <w:rsid w:val="0015155C"/>
    <w:rsid w:val="00151A68"/>
    <w:rsid w:val="00152343"/>
    <w:rsid w:val="00152662"/>
    <w:rsid w:val="00154B4E"/>
    <w:rsid w:val="00155F01"/>
    <w:rsid w:val="00156329"/>
    <w:rsid w:val="00156A56"/>
    <w:rsid w:val="001575C4"/>
    <w:rsid w:val="00157A4D"/>
    <w:rsid w:val="00161AF2"/>
    <w:rsid w:val="00162482"/>
    <w:rsid w:val="001628BC"/>
    <w:rsid w:val="0016392E"/>
    <w:rsid w:val="00163C5C"/>
    <w:rsid w:val="001648E0"/>
    <w:rsid w:val="001676A2"/>
    <w:rsid w:val="00171B34"/>
    <w:rsid w:val="00172487"/>
    <w:rsid w:val="00172E24"/>
    <w:rsid w:val="00173D67"/>
    <w:rsid w:val="00177AC4"/>
    <w:rsid w:val="0018055C"/>
    <w:rsid w:val="0018170A"/>
    <w:rsid w:val="00182763"/>
    <w:rsid w:val="00183159"/>
    <w:rsid w:val="00184429"/>
    <w:rsid w:val="00185E26"/>
    <w:rsid w:val="00190313"/>
    <w:rsid w:val="001916C2"/>
    <w:rsid w:val="001929C0"/>
    <w:rsid w:val="00193739"/>
    <w:rsid w:val="0019628A"/>
    <w:rsid w:val="0019706F"/>
    <w:rsid w:val="001A1202"/>
    <w:rsid w:val="001A1579"/>
    <w:rsid w:val="001A55CB"/>
    <w:rsid w:val="001A5606"/>
    <w:rsid w:val="001B4127"/>
    <w:rsid w:val="001B47C1"/>
    <w:rsid w:val="001B4F1F"/>
    <w:rsid w:val="001B5E05"/>
    <w:rsid w:val="001B7246"/>
    <w:rsid w:val="001B7E17"/>
    <w:rsid w:val="001C05DE"/>
    <w:rsid w:val="001C0846"/>
    <w:rsid w:val="001C2EB3"/>
    <w:rsid w:val="001C3438"/>
    <w:rsid w:val="001C598B"/>
    <w:rsid w:val="001C67A5"/>
    <w:rsid w:val="001C67E8"/>
    <w:rsid w:val="001D1AA4"/>
    <w:rsid w:val="001D21CB"/>
    <w:rsid w:val="001E0787"/>
    <w:rsid w:val="001E1DFD"/>
    <w:rsid w:val="001E3463"/>
    <w:rsid w:val="001E44CD"/>
    <w:rsid w:val="001E4BF0"/>
    <w:rsid w:val="001E58CD"/>
    <w:rsid w:val="001E61DF"/>
    <w:rsid w:val="001E6995"/>
    <w:rsid w:val="001E7F65"/>
    <w:rsid w:val="001F0997"/>
    <w:rsid w:val="001F2846"/>
    <w:rsid w:val="001F2B24"/>
    <w:rsid w:val="001F2B95"/>
    <w:rsid w:val="001F530B"/>
    <w:rsid w:val="001F5DF8"/>
    <w:rsid w:val="00200EF5"/>
    <w:rsid w:val="002040C9"/>
    <w:rsid w:val="002043A8"/>
    <w:rsid w:val="00210D46"/>
    <w:rsid w:val="002116CA"/>
    <w:rsid w:val="002127AA"/>
    <w:rsid w:val="00213226"/>
    <w:rsid w:val="00214412"/>
    <w:rsid w:val="00214FFC"/>
    <w:rsid w:val="00217C6F"/>
    <w:rsid w:val="002216F5"/>
    <w:rsid w:val="00222A60"/>
    <w:rsid w:val="00227179"/>
    <w:rsid w:val="002272F4"/>
    <w:rsid w:val="002308AA"/>
    <w:rsid w:val="00233102"/>
    <w:rsid w:val="002371A7"/>
    <w:rsid w:val="002417F9"/>
    <w:rsid w:val="002422E7"/>
    <w:rsid w:val="0024487C"/>
    <w:rsid w:val="00244AF4"/>
    <w:rsid w:val="00244E75"/>
    <w:rsid w:val="00246194"/>
    <w:rsid w:val="00246C03"/>
    <w:rsid w:val="00247035"/>
    <w:rsid w:val="00247714"/>
    <w:rsid w:val="002507AC"/>
    <w:rsid w:val="002508FF"/>
    <w:rsid w:val="00256192"/>
    <w:rsid w:val="00257914"/>
    <w:rsid w:val="002600F2"/>
    <w:rsid w:val="002603AC"/>
    <w:rsid w:val="00260829"/>
    <w:rsid w:val="002610B7"/>
    <w:rsid w:val="002617D6"/>
    <w:rsid w:val="00262DB8"/>
    <w:rsid w:val="002639AD"/>
    <w:rsid w:val="00266E0C"/>
    <w:rsid w:val="002714A9"/>
    <w:rsid w:val="00274851"/>
    <w:rsid w:val="002752C6"/>
    <w:rsid w:val="00275C53"/>
    <w:rsid w:val="002763F0"/>
    <w:rsid w:val="002806B9"/>
    <w:rsid w:val="00281CF6"/>
    <w:rsid w:val="00283F1B"/>
    <w:rsid w:val="002846F0"/>
    <w:rsid w:val="0028685C"/>
    <w:rsid w:val="00290507"/>
    <w:rsid w:val="00290F8A"/>
    <w:rsid w:val="00293E28"/>
    <w:rsid w:val="0029437D"/>
    <w:rsid w:val="002945B7"/>
    <w:rsid w:val="002966C7"/>
    <w:rsid w:val="002972D3"/>
    <w:rsid w:val="002979A0"/>
    <w:rsid w:val="002A07EA"/>
    <w:rsid w:val="002A0EED"/>
    <w:rsid w:val="002A1486"/>
    <w:rsid w:val="002A1710"/>
    <w:rsid w:val="002A2EB2"/>
    <w:rsid w:val="002A33F2"/>
    <w:rsid w:val="002A3650"/>
    <w:rsid w:val="002A3991"/>
    <w:rsid w:val="002A3B9A"/>
    <w:rsid w:val="002A44CD"/>
    <w:rsid w:val="002A5BED"/>
    <w:rsid w:val="002A5F1B"/>
    <w:rsid w:val="002A6817"/>
    <w:rsid w:val="002A6843"/>
    <w:rsid w:val="002B1FA5"/>
    <w:rsid w:val="002B2A8A"/>
    <w:rsid w:val="002B3930"/>
    <w:rsid w:val="002B4C46"/>
    <w:rsid w:val="002B5403"/>
    <w:rsid w:val="002B54A0"/>
    <w:rsid w:val="002B6ADE"/>
    <w:rsid w:val="002B6D7E"/>
    <w:rsid w:val="002C2C6D"/>
    <w:rsid w:val="002C37DD"/>
    <w:rsid w:val="002C3EBF"/>
    <w:rsid w:val="002C4CEE"/>
    <w:rsid w:val="002C4F9C"/>
    <w:rsid w:val="002C7A09"/>
    <w:rsid w:val="002D0BB1"/>
    <w:rsid w:val="002D18D3"/>
    <w:rsid w:val="002D1F94"/>
    <w:rsid w:val="002D263D"/>
    <w:rsid w:val="002D31BF"/>
    <w:rsid w:val="002D3528"/>
    <w:rsid w:val="002D35D6"/>
    <w:rsid w:val="002D4355"/>
    <w:rsid w:val="002D482F"/>
    <w:rsid w:val="002D6AAD"/>
    <w:rsid w:val="002D70D5"/>
    <w:rsid w:val="002D767A"/>
    <w:rsid w:val="002D7D4D"/>
    <w:rsid w:val="002E3389"/>
    <w:rsid w:val="002E48BC"/>
    <w:rsid w:val="002E63EC"/>
    <w:rsid w:val="002E7040"/>
    <w:rsid w:val="002E7C6E"/>
    <w:rsid w:val="002F0504"/>
    <w:rsid w:val="002F0CFA"/>
    <w:rsid w:val="002F25E3"/>
    <w:rsid w:val="002F26B2"/>
    <w:rsid w:val="002F3514"/>
    <w:rsid w:val="002F5567"/>
    <w:rsid w:val="002F57CF"/>
    <w:rsid w:val="002F7BEF"/>
    <w:rsid w:val="00300804"/>
    <w:rsid w:val="00300D28"/>
    <w:rsid w:val="00301095"/>
    <w:rsid w:val="00301DCD"/>
    <w:rsid w:val="00301EFF"/>
    <w:rsid w:val="00303D0A"/>
    <w:rsid w:val="00306255"/>
    <w:rsid w:val="00306D86"/>
    <w:rsid w:val="003072ED"/>
    <w:rsid w:val="00310B00"/>
    <w:rsid w:val="00311CBA"/>
    <w:rsid w:val="00315286"/>
    <w:rsid w:val="00324281"/>
    <w:rsid w:val="003260EE"/>
    <w:rsid w:val="00330DB1"/>
    <w:rsid w:val="00333014"/>
    <w:rsid w:val="00333E90"/>
    <w:rsid w:val="003359AB"/>
    <w:rsid w:val="003376FF"/>
    <w:rsid w:val="00337CC9"/>
    <w:rsid w:val="00340066"/>
    <w:rsid w:val="0034111E"/>
    <w:rsid w:val="0034241F"/>
    <w:rsid w:val="00342560"/>
    <w:rsid w:val="00342A7C"/>
    <w:rsid w:val="00343A72"/>
    <w:rsid w:val="003444C3"/>
    <w:rsid w:val="00346273"/>
    <w:rsid w:val="0034666A"/>
    <w:rsid w:val="003515F7"/>
    <w:rsid w:val="0035396F"/>
    <w:rsid w:val="003555ED"/>
    <w:rsid w:val="00355DB6"/>
    <w:rsid w:val="003569CE"/>
    <w:rsid w:val="0036070A"/>
    <w:rsid w:val="00361109"/>
    <w:rsid w:val="00361926"/>
    <w:rsid w:val="0036239C"/>
    <w:rsid w:val="0036302A"/>
    <w:rsid w:val="0036590B"/>
    <w:rsid w:val="0036765E"/>
    <w:rsid w:val="00370277"/>
    <w:rsid w:val="003723B2"/>
    <w:rsid w:val="00372FCF"/>
    <w:rsid w:val="00373805"/>
    <w:rsid w:val="00373BF1"/>
    <w:rsid w:val="00376D20"/>
    <w:rsid w:val="00377462"/>
    <w:rsid w:val="00382C9E"/>
    <w:rsid w:val="00383EEA"/>
    <w:rsid w:val="00383F58"/>
    <w:rsid w:val="0038407C"/>
    <w:rsid w:val="00384B19"/>
    <w:rsid w:val="00386B41"/>
    <w:rsid w:val="00387497"/>
    <w:rsid w:val="00392605"/>
    <w:rsid w:val="00393B68"/>
    <w:rsid w:val="00393BAA"/>
    <w:rsid w:val="00393D87"/>
    <w:rsid w:val="00395824"/>
    <w:rsid w:val="00397A10"/>
    <w:rsid w:val="003A0156"/>
    <w:rsid w:val="003A198E"/>
    <w:rsid w:val="003A4737"/>
    <w:rsid w:val="003A59EF"/>
    <w:rsid w:val="003A7189"/>
    <w:rsid w:val="003A7DE5"/>
    <w:rsid w:val="003B2002"/>
    <w:rsid w:val="003B209C"/>
    <w:rsid w:val="003B27B0"/>
    <w:rsid w:val="003B289D"/>
    <w:rsid w:val="003B4DDC"/>
    <w:rsid w:val="003B52F4"/>
    <w:rsid w:val="003B6D59"/>
    <w:rsid w:val="003B7DB7"/>
    <w:rsid w:val="003C1445"/>
    <w:rsid w:val="003C1A36"/>
    <w:rsid w:val="003C1AC5"/>
    <w:rsid w:val="003C2860"/>
    <w:rsid w:val="003C2E60"/>
    <w:rsid w:val="003C3118"/>
    <w:rsid w:val="003C3853"/>
    <w:rsid w:val="003C4FDA"/>
    <w:rsid w:val="003D2246"/>
    <w:rsid w:val="003D2B8F"/>
    <w:rsid w:val="003D40C6"/>
    <w:rsid w:val="003D4245"/>
    <w:rsid w:val="003D4604"/>
    <w:rsid w:val="003D51C2"/>
    <w:rsid w:val="003D5842"/>
    <w:rsid w:val="003D5906"/>
    <w:rsid w:val="003D6CB8"/>
    <w:rsid w:val="003D739D"/>
    <w:rsid w:val="003D7807"/>
    <w:rsid w:val="003D7964"/>
    <w:rsid w:val="003D7CA4"/>
    <w:rsid w:val="003E2F72"/>
    <w:rsid w:val="003E4601"/>
    <w:rsid w:val="003E6583"/>
    <w:rsid w:val="003F2366"/>
    <w:rsid w:val="003F3121"/>
    <w:rsid w:val="003F7909"/>
    <w:rsid w:val="00400A16"/>
    <w:rsid w:val="00400FE3"/>
    <w:rsid w:val="0040131D"/>
    <w:rsid w:val="00401EA3"/>
    <w:rsid w:val="004029B5"/>
    <w:rsid w:val="00403D63"/>
    <w:rsid w:val="0040519A"/>
    <w:rsid w:val="004054F3"/>
    <w:rsid w:val="0040678B"/>
    <w:rsid w:val="00406B6E"/>
    <w:rsid w:val="00406F5A"/>
    <w:rsid w:val="004121F0"/>
    <w:rsid w:val="00412848"/>
    <w:rsid w:val="00413A54"/>
    <w:rsid w:val="00414513"/>
    <w:rsid w:val="0041573D"/>
    <w:rsid w:val="0041778C"/>
    <w:rsid w:val="00417EC5"/>
    <w:rsid w:val="00420CC8"/>
    <w:rsid w:val="00420F1D"/>
    <w:rsid w:val="00421C58"/>
    <w:rsid w:val="0042347F"/>
    <w:rsid w:val="00423BF7"/>
    <w:rsid w:val="00423F9D"/>
    <w:rsid w:val="004248F3"/>
    <w:rsid w:val="00424E8F"/>
    <w:rsid w:val="004264B8"/>
    <w:rsid w:val="00427FDE"/>
    <w:rsid w:val="0043164E"/>
    <w:rsid w:val="00432637"/>
    <w:rsid w:val="00432C68"/>
    <w:rsid w:val="0043561A"/>
    <w:rsid w:val="00436768"/>
    <w:rsid w:val="00440F02"/>
    <w:rsid w:val="0044169E"/>
    <w:rsid w:val="00441854"/>
    <w:rsid w:val="004418C1"/>
    <w:rsid w:val="00442A2F"/>
    <w:rsid w:val="004433B6"/>
    <w:rsid w:val="00443A64"/>
    <w:rsid w:val="00443C00"/>
    <w:rsid w:val="0044450E"/>
    <w:rsid w:val="00444A7B"/>
    <w:rsid w:val="00447680"/>
    <w:rsid w:val="00450266"/>
    <w:rsid w:val="0045059A"/>
    <w:rsid w:val="00452FF9"/>
    <w:rsid w:val="00454BAE"/>
    <w:rsid w:val="00454F0A"/>
    <w:rsid w:val="004570F9"/>
    <w:rsid w:val="00457B19"/>
    <w:rsid w:val="00460B25"/>
    <w:rsid w:val="00461348"/>
    <w:rsid w:val="00463C29"/>
    <w:rsid w:val="0046436B"/>
    <w:rsid w:val="00464F9F"/>
    <w:rsid w:val="004669EA"/>
    <w:rsid w:val="0046779A"/>
    <w:rsid w:val="00470DA5"/>
    <w:rsid w:val="00471D4B"/>
    <w:rsid w:val="00473F6F"/>
    <w:rsid w:val="00476B79"/>
    <w:rsid w:val="00477B9A"/>
    <w:rsid w:val="0048000D"/>
    <w:rsid w:val="00480666"/>
    <w:rsid w:val="00483033"/>
    <w:rsid w:val="00484212"/>
    <w:rsid w:val="004854E3"/>
    <w:rsid w:val="0048731D"/>
    <w:rsid w:val="00487672"/>
    <w:rsid w:val="004903B8"/>
    <w:rsid w:val="00490548"/>
    <w:rsid w:val="00491689"/>
    <w:rsid w:val="00494F52"/>
    <w:rsid w:val="00495384"/>
    <w:rsid w:val="0049683B"/>
    <w:rsid w:val="004A15D8"/>
    <w:rsid w:val="004A19A3"/>
    <w:rsid w:val="004A39C3"/>
    <w:rsid w:val="004A40B7"/>
    <w:rsid w:val="004A5B54"/>
    <w:rsid w:val="004A63CB"/>
    <w:rsid w:val="004A713B"/>
    <w:rsid w:val="004A7F9F"/>
    <w:rsid w:val="004B0B52"/>
    <w:rsid w:val="004B1110"/>
    <w:rsid w:val="004B2C5B"/>
    <w:rsid w:val="004B3425"/>
    <w:rsid w:val="004B577C"/>
    <w:rsid w:val="004B6849"/>
    <w:rsid w:val="004B6D38"/>
    <w:rsid w:val="004B7A0A"/>
    <w:rsid w:val="004C00F9"/>
    <w:rsid w:val="004C0E38"/>
    <w:rsid w:val="004C293C"/>
    <w:rsid w:val="004C6380"/>
    <w:rsid w:val="004C7C85"/>
    <w:rsid w:val="004C7CF1"/>
    <w:rsid w:val="004C7E6C"/>
    <w:rsid w:val="004D121D"/>
    <w:rsid w:val="004D42E8"/>
    <w:rsid w:val="004D4D4F"/>
    <w:rsid w:val="004D4DAB"/>
    <w:rsid w:val="004D4FDC"/>
    <w:rsid w:val="004E19BD"/>
    <w:rsid w:val="004E2D8F"/>
    <w:rsid w:val="004E34E5"/>
    <w:rsid w:val="004E3937"/>
    <w:rsid w:val="004E5633"/>
    <w:rsid w:val="004E634B"/>
    <w:rsid w:val="004E66F3"/>
    <w:rsid w:val="004F0362"/>
    <w:rsid w:val="004F1494"/>
    <w:rsid w:val="004F261D"/>
    <w:rsid w:val="004F2DB4"/>
    <w:rsid w:val="004F3331"/>
    <w:rsid w:val="004F47B9"/>
    <w:rsid w:val="004F51B0"/>
    <w:rsid w:val="00500E5A"/>
    <w:rsid w:val="005024AB"/>
    <w:rsid w:val="00502CE4"/>
    <w:rsid w:val="005044E6"/>
    <w:rsid w:val="00506814"/>
    <w:rsid w:val="00506C48"/>
    <w:rsid w:val="005077B0"/>
    <w:rsid w:val="00511D47"/>
    <w:rsid w:val="0051322E"/>
    <w:rsid w:val="0051428B"/>
    <w:rsid w:val="0051511F"/>
    <w:rsid w:val="005158D7"/>
    <w:rsid w:val="0051600F"/>
    <w:rsid w:val="005163E4"/>
    <w:rsid w:val="00517096"/>
    <w:rsid w:val="00517458"/>
    <w:rsid w:val="00517557"/>
    <w:rsid w:val="00517EB5"/>
    <w:rsid w:val="005207E8"/>
    <w:rsid w:val="00521214"/>
    <w:rsid w:val="005214C0"/>
    <w:rsid w:val="0052379B"/>
    <w:rsid w:val="00523A39"/>
    <w:rsid w:val="00523F7B"/>
    <w:rsid w:val="00530E90"/>
    <w:rsid w:val="00532B39"/>
    <w:rsid w:val="00533C5C"/>
    <w:rsid w:val="00536716"/>
    <w:rsid w:val="00537473"/>
    <w:rsid w:val="00540AE9"/>
    <w:rsid w:val="005412F2"/>
    <w:rsid w:val="005431A9"/>
    <w:rsid w:val="00545A2D"/>
    <w:rsid w:val="005462A8"/>
    <w:rsid w:val="00547AA2"/>
    <w:rsid w:val="00552300"/>
    <w:rsid w:val="00552576"/>
    <w:rsid w:val="005539C1"/>
    <w:rsid w:val="005545B7"/>
    <w:rsid w:val="00555194"/>
    <w:rsid w:val="00556F5D"/>
    <w:rsid w:val="00560C1F"/>
    <w:rsid w:val="0056134D"/>
    <w:rsid w:val="00561361"/>
    <w:rsid w:val="00561C51"/>
    <w:rsid w:val="005624C4"/>
    <w:rsid w:val="005655D7"/>
    <w:rsid w:val="005657B8"/>
    <w:rsid w:val="00566D87"/>
    <w:rsid w:val="00567157"/>
    <w:rsid w:val="005671B9"/>
    <w:rsid w:val="00570076"/>
    <w:rsid w:val="00573500"/>
    <w:rsid w:val="00573F32"/>
    <w:rsid w:val="00574213"/>
    <w:rsid w:val="005748FE"/>
    <w:rsid w:val="005755F7"/>
    <w:rsid w:val="005771C1"/>
    <w:rsid w:val="0057796D"/>
    <w:rsid w:val="00577B1D"/>
    <w:rsid w:val="00577C9A"/>
    <w:rsid w:val="005808C1"/>
    <w:rsid w:val="00581242"/>
    <w:rsid w:val="005840D2"/>
    <w:rsid w:val="00584B7F"/>
    <w:rsid w:val="005857A5"/>
    <w:rsid w:val="00587871"/>
    <w:rsid w:val="00592438"/>
    <w:rsid w:val="00592A1A"/>
    <w:rsid w:val="0059410F"/>
    <w:rsid w:val="00594354"/>
    <w:rsid w:val="00595380"/>
    <w:rsid w:val="00596594"/>
    <w:rsid w:val="005973E3"/>
    <w:rsid w:val="005A1D89"/>
    <w:rsid w:val="005A2B18"/>
    <w:rsid w:val="005A3823"/>
    <w:rsid w:val="005A3C10"/>
    <w:rsid w:val="005A41F4"/>
    <w:rsid w:val="005A527D"/>
    <w:rsid w:val="005A5615"/>
    <w:rsid w:val="005A563E"/>
    <w:rsid w:val="005A5E07"/>
    <w:rsid w:val="005A6D3A"/>
    <w:rsid w:val="005A7AA1"/>
    <w:rsid w:val="005B0B83"/>
    <w:rsid w:val="005B0BC7"/>
    <w:rsid w:val="005B14AF"/>
    <w:rsid w:val="005B46AE"/>
    <w:rsid w:val="005B46F7"/>
    <w:rsid w:val="005B5535"/>
    <w:rsid w:val="005B7659"/>
    <w:rsid w:val="005C1190"/>
    <w:rsid w:val="005C3161"/>
    <w:rsid w:val="005C4201"/>
    <w:rsid w:val="005D0CE2"/>
    <w:rsid w:val="005D1C56"/>
    <w:rsid w:val="005D3537"/>
    <w:rsid w:val="005D3C4B"/>
    <w:rsid w:val="005D4398"/>
    <w:rsid w:val="005D5AE6"/>
    <w:rsid w:val="005D5F5C"/>
    <w:rsid w:val="005D7696"/>
    <w:rsid w:val="005E0BB6"/>
    <w:rsid w:val="005E24E2"/>
    <w:rsid w:val="005E2F9E"/>
    <w:rsid w:val="005E388B"/>
    <w:rsid w:val="005E4D15"/>
    <w:rsid w:val="005E5B14"/>
    <w:rsid w:val="005E5F65"/>
    <w:rsid w:val="005F269A"/>
    <w:rsid w:val="005F7894"/>
    <w:rsid w:val="005F7DBB"/>
    <w:rsid w:val="00601BEE"/>
    <w:rsid w:val="006027E4"/>
    <w:rsid w:val="006061B4"/>
    <w:rsid w:val="0060741E"/>
    <w:rsid w:val="006102EA"/>
    <w:rsid w:val="0061456B"/>
    <w:rsid w:val="0061518D"/>
    <w:rsid w:val="0061552E"/>
    <w:rsid w:val="006166D5"/>
    <w:rsid w:val="00617AAC"/>
    <w:rsid w:val="006203DD"/>
    <w:rsid w:val="006207F8"/>
    <w:rsid w:val="00621D98"/>
    <w:rsid w:val="00622E63"/>
    <w:rsid w:val="006230E1"/>
    <w:rsid w:val="006240A6"/>
    <w:rsid w:val="00625460"/>
    <w:rsid w:val="00625CA7"/>
    <w:rsid w:val="00626B2E"/>
    <w:rsid w:val="006309F6"/>
    <w:rsid w:val="00631089"/>
    <w:rsid w:val="00631978"/>
    <w:rsid w:val="00631D87"/>
    <w:rsid w:val="00633923"/>
    <w:rsid w:val="00633C11"/>
    <w:rsid w:val="00634B88"/>
    <w:rsid w:val="00635709"/>
    <w:rsid w:val="00636745"/>
    <w:rsid w:val="006423E4"/>
    <w:rsid w:val="0064247D"/>
    <w:rsid w:val="00644936"/>
    <w:rsid w:val="00647724"/>
    <w:rsid w:val="00647F78"/>
    <w:rsid w:val="00650F5E"/>
    <w:rsid w:val="006535BF"/>
    <w:rsid w:val="006536F0"/>
    <w:rsid w:val="00654A62"/>
    <w:rsid w:val="00655990"/>
    <w:rsid w:val="00655F29"/>
    <w:rsid w:val="0065629D"/>
    <w:rsid w:val="0065741D"/>
    <w:rsid w:val="006578B2"/>
    <w:rsid w:val="00661822"/>
    <w:rsid w:val="0066213C"/>
    <w:rsid w:val="00662D02"/>
    <w:rsid w:val="00663DEB"/>
    <w:rsid w:val="00663E53"/>
    <w:rsid w:val="00665208"/>
    <w:rsid w:val="00666F5D"/>
    <w:rsid w:val="00667F90"/>
    <w:rsid w:val="00670287"/>
    <w:rsid w:val="00671279"/>
    <w:rsid w:val="0067159E"/>
    <w:rsid w:val="006733F0"/>
    <w:rsid w:val="00675B76"/>
    <w:rsid w:val="00676508"/>
    <w:rsid w:val="00676B3B"/>
    <w:rsid w:val="00676F6D"/>
    <w:rsid w:val="006818DF"/>
    <w:rsid w:val="00683277"/>
    <w:rsid w:val="006834A8"/>
    <w:rsid w:val="006837A8"/>
    <w:rsid w:val="00683B23"/>
    <w:rsid w:val="006856C8"/>
    <w:rsid w:val="00685ACE"/>
    <w:rsid w:val="0068613D"/>
    <w:rsid w:val="006868BB"/>
    <w:rsid w:val="00690B5C"/>
    <w:rsid w:val="00690FDF"/>
    <w:rsid w:val="00692452"/>
    <w:rsid w:val="006925E8"/>
    <w:rsid w:val="00692AD6"/>
    <w:rsid w:val="00694E4A"/>
    <w:rsid w:val="006974A9"/>
    <w:rsid w:val="00697A44"/>
    <w:rsid w:val="006A2A1A"/>
    <w:rsid w:val="006A557B"/>
    <w:rsid w:val="006A74AC"/>
    <w:rsid w:val="006A753C"/>
    <w:rsid w:val="006A78A2"/>
    <w:rsid w:val="006A7EED"/>
    <w:rsid w:val="006B1A67"/>
    <w:rsid w:val="006B30EB"/>
    <w:rsid w:val="006B35DA"/>
    <w:rsid w:val="006B56EB"/>
    <w:rsid w:val="006B577C"/>
    <w:rsid w:val="006B5BC5"/>
    <w:rsid w:val="006B5FEA"/>
    <w:rsid w:val="006B699A"/>
    <w:rsid w:val="006C0376"/>
    <w:rsid w:val="006C274C"/>
    <w:rsid w:val="006C3BD8"/>
    <w:rsid w:val="006C3FE1"/>
    <w:rsid w:val="006C4AAA"/>
    <w:rsid w:val="006C50D0"/>
    <w:rsid w:val="006C66FC"/>
    <w:rsid w:val="006D15B3"/>
    <w:rsid w:val="006D17E5"/>
    <w:rsid w:val="006D297D"/>
    <w:rsid w:val="006D321C"/>
    <w:rsid w:val="006D4B50"/>
    <w:rsid w:val="006D616B"/>
    <w:rsid w:val="006D750B"/>
    <w:rsid w:val="006D7C49"/>
    <w:rsid w:val="006E0340"/>
    <w:rsid w:val="006E1A5A"/>
    <w:rsid w:val="006E5C92"/>
    <w:rsid w:val="006E5D61"/>
    <w:rsid w:val="006E694E"/>
    <w:rsid w:val="006E699F"/>
    <w:rsid w:val="006E6C88"/>
    <w:rsid w:val="006E7637"/>
    <w:rsid w:val="006F07BF"/>
    <w:rsid w:val="006F34D9"/>
    <w:rsid w:val="006F386B"/>
    <w:rsid w:val="006F4179"/>
    <w:rsid w:val="006F4547"/>
    <w:rsid w:val="006F62C0"/>
    <w:rsid w:val="006F7907"/>
    <w:rsid w:val="0070081F"/>
    <w:rsid w:val="00702498"/>
    <w:rsid w:val="00702526"/>
    <w:rsid w:val="007029ED"/>
    <w:rsid w:val="00702E7A"/>
    <w:rsid w:val="00703832"/>
    <w:rsid w:val="0070579B"/>
    <w:rsid w:val="0071130A"/>
    <w:rsid w:val="007119D8"/>
    <w:rsid w:val="0071691D"/>
    <w:rsid w:val="007179D9"/>
    <w:rsid w:val="0072143C"/>
    <w:rsid w:val="007214D4"/>
    <w:rsid w:val="00721959"/>
    <w:rsid w:val="00722783"/>
    <w:rsid w:val="007233F1"/>
    <w:rsid w:val="0072406A"/>
    <w:rsid w:val="007304BB"/>
    <w:rsid w:val="007325C4"/>
    <w:rsid w:val="00735585"/>
    <w:rsid w:val="00736DDD"/>
    <w:rsid w:val="0073763F"/>
    <w:rsid w:val="00737E3E"/>
    <w:rsid w:val="007424A5"/>
    <w:rsid w:val="00742BDF"/>
    <w:rsid w:val="00745356"/>
    <w:rsid w:val="00746470"/>
    <w:rsid w:val="007464BE"/>
    <w:rsid w:val="00746F91"/>
    <w:rsid w:val="00747728"/>
    <w:rsid w:val="0075012F"/>
    <w:rsid w:val="00750462"/>
    <w:rsid w:val="00751F2F"/>
    <w:rsid w:val="00752305"/>
    <w:rsid w:val="00754027"/>
    <w:rsid w:val="00757A86"/>
    <w:rsid w:val="00760454"/>
    <w:rsid w:val="007632E9"/>
    <w:rsid w:val="007643BF"/>
    <w:rsid w:val="00766FA0"/>
    <w:rsid w:val="00771672"/>
    <w:rsid w:val="00772C59"/>
    <w:rsid w:val="00772C69"/>
    <w:rsid w:val="0077330A"/>
    <w:rsid w:val="0077443A"/>
    <w:rsid w:val="00774460"/>
    <w:rsid w:val="007748D1"/>
    <w:rsid w:val="0077724F"/>
    <w:rsid w:val="00777E19"/>
    <w:rsid w:val="0078011C"/>
    <w:rsid w:val="007803F2"/>
    <w:rsid w:val="0078049F"/>
    <w:rsid w:val="00780AEF"/>
    <w:rsid w:val="007812C8"/>
    <w:rsid w:val="00781BE8"/>
    <w:rsid w:val="00787363"/>
    <w:rsid w:val="007908C7"/>
    <w:rsid w:val="00793CB3"/>
    <w:rsid w:val="00794847"/>
    <w:rsid w:val="00796208"/>
    <w:rsid w:val="007A001F"/>
    <w:rsid w:val="007A0577"/>
    <w:rsid w:val="007A0FC3"/>
    <w:rsid w:val="007A15FF"/>
    <w:rsid w:val="007A1849"/>
    <w:rsid w:val="007A2584"/>
    <w:rsid w:val="007A30AF"/>
    <w:rsid w:val="007A358A"/>
    <w:rsid w:val="007A468F"/>
    <w:rsid w:val="007A4D6A"/>
    <w:rsid w:val="007A6352"/>
    <w:rsid w:val="007B2F15"/>
    <w:rsid w:val="007B319B"/>
    <w:rsid w:val="007B46EA"/>
    <w:rsid w:val="007B4AA5"/>
    <w:rsid w:val="007B4C6A"/>
    <w:rsid w:val="007B5568"/>
    <w:rsid w:val="007B6014"/>
    <w:rsid w:val="007B62A4"/>
    <w:rsid w:val="007B64B5"/>
    <w:rsid w:val="007B7CEC"/>
    <w:rsid w:val="007C08DB"/>
    <w:rsid w:val="007C270D"/>
    <w:rsid w:val="007C3E74"/>
    <w:rsid w:val="007C3E7D"/>
    <w:rsid w:val="007C5AAF"/>
    <w:rsid w:val="007C7CEA"/>
    <w:rsid w:val="007D0714"/>
    <w:rsid w:val="007D0EEE"/>
    <w:rsid w:val="007D10AE"/>
    <w:rsid w:val="007D2AB0"/>
    <w:rsid w:val="007D46D4"/>
    <w:rsid w:val="007D5944"/>
    <w:rsid w:val="007D6189"/>
    <w:rsid w:val="007D785F"/>
    <w:rsid w:val="007D793C"/>
    <w:rsid w:val="007E0C26"/>
    <w:rsid w:val="007E0D9D"/>
    <w:rsid w:val="007E2874"/>
    <w:rsid w:val="007E57E4"/>
    <w:rsid w:val="007F0182"/>
    <w:rsid w:val="007F3805"/>
    <w:rsid w:val="007F4CAD"/>
    <w:rsid w:val="007F6C5A"/>
    <w:rsid w:val="007F78E3"/>
    <w:rsid w:val="007F78EA"/>
    <w:rsid w:val="007F7FF3"/>
    <w:rsid w:val="00800D38"/>
    <w:rsid w:val="008013BA"/>
    <w:rsid w:val="008014BC"/>
    <w:rsid w:val="00801F0C"/>
    <w:rsid w:val="00805765"/>
    <w:rsid w:val="008065B2"/>
    <w:rsid w:val="008071FB"/>
    <w:rsid w:val="008072BD"/>
    <w:rsid w:val="00807916"/>
    <w:rsid w:val="00810024"/>
    <w:rsid w:val="008123F3"/>
    <w:rsid w:val="008124BA"/>
    <w:rsid w:val="00815FF7"/>
    <w:rsid w:val="00816895"/>
    <w:rsid w:val="008203FC"/>
    <w:rsid w:val="00821A16"/>
    <w:rsid w:val="00822F08"/>
    <w:rsid w:val="008240D2"/>
    <w:rsid w:val="00825EF6"/>
    <w:rsid w:val="00827CC6"/>
    <w:rsid w:val="00831315"/>
    <w:rsid w:val="00832F98"/>
    <w:rsid w:val="00834066"/>
    <w:rsid w:val="00835861"/>
    <w:rsid w:val="0083746E"/>
    <w:rsid w:val="00837476"/>
    <w:rsid w:val="008403CA"/>
    <w:rsid w:val="00840D1F"/>
    <w:rsid w:val="00842295"/>
    <w:rsid w:val="008447D6"/>
    <w:rsid w:val="00846CD0"/>
    <w:rsid w:val="00846FD7"/>
    <w:rsid w:val="008504AC"/>
    <w:rsid w:val="00850AEE"/>
    <w:rsid w:val="008541DA"/>
    <w:rsid w:val="00854A6A"/>
    <w:rsid w:val="00861BE6"/>
    <w:rsid w:val="00861F4D"/>
    <w:rsid w:val="008620A3"/>
    <w:rsid w:val="008623BB"/>
    <w:rsid w:val="008628B5"/>
    <w:rsid w:val="00862D3B"/>
    <w:rsid w:val="0086492D"/>
    <w:rsid w:val="008652C6"/>
    <w:rsid w:val="00866C1B"/>
    <w:rsid w:val="0087737C"/>
    <w:rsid w:val="0088100D"/>
    <w:rsid w:val="00882977"/>
    <w:rsid w:val="00882CA3"/>
    <w:rsid w:val="008842B5"/>
    <w:rsid w:val="00885150"/>
    <w:rsid w:val="00885694"/>
    <w:rsid w:val="00885E17"/>
    <w:rsid w:val="008869B3"/>
    <w:rsid w:val="008870FC"/>
    <w:rsid w:val="00891F9F"/>
    <w:rsid w:val="008929BE"/>
    <w:rsid w:val="00894CF9"/>
    <w:rsid w:val="00894ECA"/>
    <w:rsid w:val="00896F60"/>
    <w:rsid w:val="008A002A"/>
    <w:rsid w:val="008A0456"/>
    <w:rsid w:val="008A51F3"/>
    <w:rsid w:val="008A7472"/>
    <w:rsid w:val="008A7484"/>
    <w:rsid w:val="008B14FB"/>
    <w:rsid w:val="008B22AF"/>
    <w:rsid w:val="008B2517"/>
    <w:rsid w:val="008B3197"/>
    <w:rsid w:val="008B4896"/>
    <w:rsid w:val="008B4F2A"/>
    <w:rsid w:val="008B5EC8"/>
    <w:rsid w:val="008B78D6"/>
    <w:rsid w:val="008C0D80"/>
    <w:rsid w:val="008C1A25"/>
    <w:rsid w:val="008C274D"/>
    <w:rsid w:val="008C3A2D"/>
    <w:rsid w:val="008C3BC1"/>
    <w:rsid w:val="008C66BE"/>
    <w:rsid w:val="008C6C0A"/>
    <w:rsid w:val="008C6D4B"/>
    <w:rsid w:val="008C71B5"/>
    <w:rsid w:val="008D01BA"/>
    <w:rsid w:val="008D0A60"/>
    <w:rsid w:val="008D13C3"/>
    <w:rsid w:val="008D296E"/>
    <w:rsid w:val="008D3412"/>
    <w:rsid w:val="008D512E"/>
    <w:rsid w:val="008D5D9A"/>
    <w:rsid w:val="008D6371"/>
    <w:rsid w:val="008D753D"/>
    <w:rsid w:val="008D7978"/>
    <w:rsid w:val="008D79A6"/>
    <w:rsid w:val="008D7F51"/>
    <w:rsid w:val="008E298C"/>
    <w:rsid w:val="008E475B"/>
    <w:rsid w:val="008E5B64"/>
    <w:rsid w:val="008E5E18"/>
    <w:rsid w:val="008E68E7"/>
    <w:rsid w:val="008F0E4B"/>
    <w:rsid w:val="008F158E"/>
    <w:rsid w:val="008F1739"/>
    <w:rsid w:val="008F1F7D"/>
    <w:rsid w:val="008F2357"/>
    <w:rsid w:val="008F3276"/>
    <w:rsid w:val="008F4AF0"/>
    <w:rsid w:val="008F595A"/>
    <w:rsid w:val="008F6402"/>
    <w:rsid w:val="008F6835"/>
    <w:rsid w:val="008F6B2C"/>
    <w:rsid w:val="008F7120"/>
    <w:rsid w:val="00902753"/>
    <w:rsid w:val="0090522C"/>
    <w:rsid w:val="00907C2B"/>
    <w:rsid w:val="009108C2"/>
    <w:rsid w:val="0091354F"/>
    <w:rsid w:val="00914173"/>
    <w:rsid w:val="00916B11"/>
    <w:rsid w:val="00917750"/>
    <w:rsid w:val="00917B6C"/>
    <w:rsid w:val="0092117E"/>
    <w:rsid w:val="00921C1F"/>
    <w:rsid w:val="00922815"/>
    <w:rsid w:val="0092311A"/>
    <w:rsid w:val="00924B44"/>
    <w:rsid w:val="009262DE"/>
    <w:rsid w:val="00926508"/>
    <w:rsid w:val="00927850"/>
    <w:rsid w:val="00927943"/>
    <w:rsid w:val="00927B92"/>
    <w:rsid w:val="009300FA"/>
    <w:rsid w:val="00931781"/>
    <w:rsid w:val="00932815"/>
    <w:rsid w:val="00933733"/>
    <w:rsid w:val="00933995"/>
    <w:rsid w:val="00935EAF"/>
    <w:rsid w:val="00936C52"/>
    <w:rsid w:val="00937275"/>
    <w:rsid w:val="00940151"/>
    <w:rsid w:val="009448C9"/>
    <w:rsid w:val="0095062C"/>
    <w:rsid w:val="00950D62"/>
    <w:rsid w:val="00951033"/>
    <w:rsid w:val="00952800"/>
    <w:rsid w:val="009540AB"/>
    <w:rsid w:val="009579E9"/>
    <w:rsid w:val="00960267"/>
    <w:rsid w:val="00961521"/>
    <w:rsid w:val="00961DD4"/>
    <w:rsid w:val="00962075"/>
    <w:rsid w:val="0096371A"/>
    <w:rsid w:val="009641FB"/>
    <w:rsid w:val="009653ED"/>
    <w:rsid w:val="0097049B"/>
    <w:rsid w:val="00970F92"/>
    <w:rsid w:val="00971A0B"/>
    <w:rsid w:val="00972A79"/>
    <w:rsid w:val="0097791A"/>
    <w:rsid w:val="009779B2"/>
    <w:rsid w:val="00984785"/>
    <w:rsid w:val="009847C7"/>
    <w:rsid w:val="00984BEE"/>
    <w:rsid w:val="00985782"/>
    <w:rsid w:val="0098587B"/>
    <w:rsid w:val="00985B24"/>
    <w:rsid w:val="00990784"/>
    <w:rsid w:val="00991254"/>
    <w:rsid w:val="00991887"/>
    <w:rsid w:val="0099204F"/>
    <w:rsid w:val="00994958"/>
    <w:rsid w:val="00995818"/>
    <w:rsid w:val="009962AF"/>
    <w:rsid w:val="00996A9A"/>
    <w:rsid w:val="009975D6"/>
    <w:rsid w:val="009A01AA"/>
    <w:rsid w:val="009A1B14"/>
    <w:rsid w:val="009A50A8"/>
    <w:rsid w:val="009A6198"/>
    <w:rsid w:val="009A6C24"/>
    <w:rsid w:val="009A788C"/>
    <w:rsid w:val="009B07EF"/>
    <w:rsid w:val="009B23CD"/>
    <w:rsid w:val="009B2E0A"/>
    <w:rsid w:val="009B4A1A"/>
    <w:rsid w:val="009B5DEF"/>
    <w:rsid w:val="009C0FA3"/>
    <w:rsid w:val="009C1379"/>
    <w:rsid w:val="009C1ADE"/>
    <w:rsid w:val="009C2632"/>
    <w:rsid w:val="009C313E"/>
    <w:rsid w:val="009C43BC"/>
    <w:rsid w:val="009C44B0"/>
    <w:rsid w:val="009C48D6"/>
    <w:rsid w:val="009C5448"/>
    <w:rsid w:val="009C5AD2"/>
    <w:rsid w:val="009C6AFF"/>
    <w:rsid w:val="009C78E3"/>
    <w:rsid w:val="009C7B03"/>
    <w:rsid w:val="009D017F"/>
    <w:rsid w:val="009D0AFB"/>
    <w:rsid w:val="009D1CB7"/>
    <w:rsid w:val="009D48CB"/>
    <w:rsid w:val="009D4CA1"/>
    <w:rsid w:val="009D515F"/>
    <w:rsid w:val="009D712E"/>
    <w:rsid w:val="009E0BBB"/>
    <w:rsid w:val="009E0EAD"/>
    <w:rsid w:val="009E179E"/>
    <w:rsid w:val="009E1E3F"/>
    <w:rsid w:val="009E32CB"/>
    <w:rsid w:val="009E391A"/>
    <w:rsid w:val="009E3E8F"/>
    <w:rsid w:val="009E5EE0"/>
    <w:rsid w:val="009E5FD2"/>
    <w:rsid w:val="009E670A"/>
    <w:rsid w:val="009E6C47"/>
    <w:rsid w:val="009E7B25"/>
    <w:rsid w:val="009F0F03"/>
    <w:rsid w:val="009F157E"/>
    <w:rsid w:val="009F1EF6"/>
    <w:rsid w:val="009F23F7"/>
    <w:rsid w:val="009F2720"/>
    <w:rsid w:val="009F2E5B"/>
    <w:rsid w:val="009F348F"/>
    <w:rsid w:val="009F3A9E"/>
    <w:rsid w:val="009F4BBD"/>
    <w:rsid w:val="009F568B"/>
    <w:rsid w:val="009F708B"/>
    <w:rsid w:val="00A03484"/>
    <w:rsid w:val="00A03AE9"/>
    <w:rsid w:val="00A05D2F"/>
    <w:rsid w:val="00A07404"/>
    <w:rsid w:val="00A12B47"/>
    <w:rsid w:val="00A14900"/>
    <w:rsid w:val="00A14965"/>
    <w:rsid w:val="00A158D4"/>
    <w:rsid w:val="00A171FF"/>
    <w:rsid w:val="00A176B9"/>
    <w:rsid w:val="00A17952"/>
    <w:rsid w:val="00A2092B"/>
    <w:rsid w:val="00A21246"/>
    <w:rsid w:val="00A21889"/>
    <w:rsid w:val="00A24042"/>
    <w:rsid w:val="00A24B55"/>
    <w:rsid w:val="00A25E8B"/>
    <w:rsid w:val="00A25F95"/>
    <w:rsid w:val="00A26D70"/>
    <w:rsid w:val="00A31567"/>
    <w:rsid w:val="00A37700"/>
    <w:rsid w:val="00A37E2A"/>
    <w:rsid w:val="00A401FA"/>
    <w:rsid w:val="00A404F2"/>
    <w:rsid w:val="00A45651"/>
    <w:rsid w:val="00A45F4B"/>
    <w:rsid w:val="00A4657C"/>
    <w:rsid w:val="00A50199"/>
    <w:rsid w:val="00A525ED"/>
    <w:rsid w:val="00A52A38"/>
    <w:rsid w:val="00A538CE"/>
    <w:rsid w:val="00A547F4"/>
    <w:rsid w:val="00A54D40"/>
    <w:rsid w:val="00A56E1F"/>
    <w:rsid w:val="00A5710F"/>
    <w:rsid w:val="00A57BB4"/>
    <w:rsid w:val="00A57CBD"/>
    <w:rsid w:val="00A6011B"/>
    <w:rsid w:val="00A61A2C"/>
    <w:rsid w:val="00A648D3"/>
    <w:rsid w:val="00A649A6"/>
    <w:rsid w:val="00A67B6F"/>
    <w:rsid w:val="00A70843"/>
    <w:rsid w:val="00A70F4E"/>
    <w:rsid w:val="00A71CC2"/>
    <w:rsid w:val="00A72D03"/>
    <w:rsid w:val="00A72DF9"/>
    <w:rsid w:val="00A73B50"/>
    <w:rsid w:val="00A73DAF"/>
    <w:rsid w:val="00A74B98"/>
    <w:rsid w:val="00A754C2"/>
    <w:rsid w:val="00A75BF7"/>
    <w:rsid w:val="00A77F0F"/>
    <w:rsid w:val="00A8003A"/>
    <w:rsid w:val="00A8261B"/>
    <w:rsid w:val="00A844AF"/>
    <w:rsid w:val="00A84AF7"/>
    <w:rsid w:val="00A872E9"/>
    <w:rsid w:val="00A909B0"/>
    <w:rsid w:val="00A90F1D"/>
    <w:rsid w:val="00A91ADF"/>
    <w:rsid w:val="00A93A6D"/>
    <w:rsid w:val="00A946A3"/>
    <w:rsid w:val="00A946A7"/>
    <w:rsid w:val="00A957D5"/>
    <w:rsid w:val="00A95BB9"/>
    <w:rsid w:val="00A967AE"/>
    <w:rsid w:val="00A9688A"/>
    <w:rsid w:val="00A96FB2"/>
    <w:rsid w:val="00A978EA"/>
    <w:rsid w:val="00A97AC1"/>
    <w:rsid w:val="00AA54D7"/>
    <w:rsid w:val="00AA57A3"/>
    <w:rsid w:val="00AA5F49"/>
    <w:rsid w:val="00AA7E02"/>
    <w:rsid w:val="00AB0147"/>
    <w:rsid w:val="00AB1D1D"/>
    <w:rsid w:val="00AB2616"/>
    <w:rsid w:val="00AB351C"/>
    <w:rsid w:val="00AB5A28"/>
    <w:rsid w:val="00AC0779"/>
    <w:rsid w:val="00AC14A6"/>
    <w:rsid w:val="00AC295C"/>
    <w:rsid w:val="00AC3485"/>
    <w:rsid w:val="00AC6752"/>
    <w:rsid w:val="00AC6B09"/>
    <w:rsid w:val="00AC6FD3"/>
    <w:rsid w:val="00AC7235"/>
    <w:rsid w:val="00AC7B71"/>
    <w:rsid w:val="00AC7FF1"/>
    <w:rsid w:val="00AD0DBA"/>
    <w:rsid w:val="00AD0E0E"/>
    <w:rsid w:val="00AD2BAA"/>
    <w:rsid w:val="00AD330A"/>
    <w:rsid w:val="00AD440D"/>
    <w:rsid w:val="00AD4B9B"/>
    <w:rsid w:val="00AD4D0B"/>
    <w:rsid w:val="00AD5144"/>
    <w:rsid w:val="00AD5D4C"/>
    <w:rsid w:val="00AD5F0E"/>
    <w:rsid w:val="00AD7FD5"/>
    <w:rsid w:val="00AE0CD4"/>
    <w:rsid w:val="00AE1A22"/>
    <w:rsid w:val="00AE30DA"/>
    <w:rsid w:val="00AE3D43"/>
    <w:rsid w:val="00AE6F8A"/>
    <w:rsid w:val="00AE7A5A"/>
    <w:rsid w:val="00AF0375"/>
    <w:rsid w:val="00AF0B96"/>
    <w:rsid w:val="00AF245E"/>
    <w:rsid w:val="00AF40C5"/>
    <w:rsid w:val="00AF4CDA"/>
    <w:rsid w:val="00AF5A9F"/>
    <w:rsid w:val="00B02659"/>
    <w:rsid w:val="00B030F8"/>
    <w:rsid w:val="00B049C9"/>
    <w:rsid w:val="00B04ABC"/>
    <w:rsid w:val="00B06703"/>
    <w:rsid w:val="00B06C30"/>
    <w:rsid w:val="00B06DBC"/>
    <w:rsid w:val="00B07784"/>
    <w:rsid w:val="00B10613"/>
    <w:rsid w:val="00B137FB"/>
    <w:rsid w:val="00B147FE"/>
    <w:rsid w:val="00B16456"/>
    <w:rsid w:val="00B1758B"/>
    <w:rsid w:val="00B2021D"/>
    <w:rsid w:val="00B2119D"/>
    <w:rsid w:val="00B21C7D"/>
    <w:rsid w:val="00B220ED"/>
    <w:rsid w:val="00B2402A"/>
    <w:rsid w:val="00B25D57"/>
    <w:rsid w:val="00B260A4"/>
    <w:rsid w:val="00B27DCC"/>
    <w:rsid w:val="00B31A56"/>
    <w:rsid w:val="00B31C5C"/>
    <w:rsid w:val="00B343EF"/>
    <w:rsid w:val="00B34722"/>
    <w:rsid w:val="00B36A50"/>
    <w:rsid w:val="00B40778"/>
    <w:rsid w:val="00B4108A"/>
    <w:rsid w:val="00B41CAB"/>
    <w:rsid w:val="00B43138"/>
    <w:rsid w:val="00B437A6"/>
    <w:rsid w:val="00B43EBB"/>
    <w:rsid w:val="00B44D58"/>
    <w:rsid w:val="00B45619"/>
    <w:rsid w:val="00B46F8B"/>
    <w:rsid w:val="00B50511"/>
    <w:rsid w:val="00B51103"/>
    <w:rsid w:val="00B521EC"/>
    <w:rsid w:val="00B57635"/>
    <w:rsid w:val="00B64252"/>
    <w:rsid w:val="00B64F4D"/>
    <w:rsid w:val="00B65277"/>
    <w:rsid w:val="00B65450"/>
    <w:rsid w:val="00B656C7"/>
    <w:rsid w:val="00B709B7"/>
    <w:rsid w:val="00B70B04"/>
    <w:rsid w:val="00B721E3"/>
    <w:rsid w:val="00B72DC4"/>
    <w:rsid w:val="00B756CD"/>
    <w:rsid w:val="00B75877"/>
    <w:rsid w:val="00B760F4"/>
    <w:rsid w:val="00B76832"/>
    <w:rsid w:val="00B80D2C"/>
    <w:rsid w:val="00B83928"/>
    <w:rsid w:val="00B83E3C"/>
    <w:rsid w:val="00B85664"/>
    <w:rsid w:val="00B87213"/>
    <w:rsid w:val="00B87345"/>
    <w:rsid w:val="00B873C5"/>
    <w:rsid w:val="00B87770"/>
    <w:rsid w:val="00B87BAE"/>
    <w:rsid w:val="00B90245"/>
    <w:rsid w:val="00B90AA5"/>
    <w:rsid w:val="00B91133"/>
    <w:rsid w:val="00B92176"/>
    <w:rsid w:val="00B92F8F"/>
    <w:rsid w:val="00B94078"/>
    <w:rsid w:val="00B94A2D"/>
    <w:rsid w:val="00B94DD5"/>
    <w:rsid w:val="00B96248"/>
    <w:rsid w:val="00BA096F"/>
    <w:rsid w:val="00BA2424"/>
    <w:rsid w:val="00BA3FB1"/>
    <w:rsid w:val="00BA4A2C"/>
    <w:rsid w:val="00BA4DE0"/>
    <w:rsid w:val="00BA69D1"/>
    <w:rsid w:val="00BA6FCF"/>
    <w:rsid w:val="00BA74D2"/>
    <w:rsid w:val="00BA79EE"/>
    <w:rsid w:val="00BB22C6"/>
    <w:rsid w:val="00BB3CED"/>
    <w:rsid w:val="00BB47C8"/>
    <w:rsid w:val="00BB4C92"/>
    <w:rsid w:val="00BB4DB0"/>
    <w:rsid w:val="00BB5CD7"/>
    <w:rsid w:val="00BB5E6D"/>
    <w:rsid w:val="00BB7C4C"/>
    <w:rsid w:val="00BB7F0E"/>
    <w:rsid w:val="00BC4D73"/>
    <w:rsid w:val="00BC57D9"/>
    <w:rsid w:val="00BC6031"/>
    <w:rsid w:val="00BC7BFC"/>
    <w:rsid w:val="00BD101D"/>
    <w:rsid w:val="00BD23E1"/>
    <w:rsid w:val="00BD3A32"/>
    <w:rsid w:val="00BD6233"/>
    <w:rsid w:val="00BD6397"/>
    <w:rsid w:val="00BD6B85"/>
    <w:rsid w:val="00BD72A0"/>
    <w:rsid w:val="00BD775A"/>
    <w:rsid w:val="00BE1042"/>
    <w:rsid w:val="00BE232D"/>
    <w:rsid w:val="00BE288E"/>
    <w:rsid w:val="00BE34AC"/>
    <w:rsid w:val="00BE4EBD"/>
    <w:rsid w:val="00BE7274"/>
    <w:rsid w:val="00BE7AA3"/>
    <w:rsid w:val="00BF014A"/>
    <w:rsid w:val="00BF02C8"/>
    <w:rsid w:val="00BF03E1"/>
    <w:rsid w:val="00BF057D"/>
    <w:rsid w:val="00BF0F63"/>
    <w:rsid w:val="00BF50C7"/>
    <w:rsid w:val="00BF5195"/>
    <w:rsid w:val="00BF5CFD"/>
    <w:rsid w:val="00BF614E"/>
    <w:rsid w:val="00BF695C"/>
    <w:rsid w:val="00BF6B96"/>
    <w:rsid w:val="00C0350E"/>
    <w:rsid w:val="00C065D6"/>
    <w:rsid w:val="00C06CF7"/>
    <w:rsid w:val="00C073B2"/>
    <w:rsid w:val="00C074CB"/>
    <w:rsid w:val="00C07633"/>
    <w:rsid w:val="00C10746"/>
    <w:rsid w:val="00C11810"/>
    <w:rsid w:val="00C11913"/>
    <w:rsid w:val="00C128AF"/>
    <w:rsid w:val="00C14763"/>
    <w:rsid w:val="00C22574"/>
    <w:rsid w:val="00C23BEE"/>
    <w:rsid w:val="00C240D8"/>
    <w:rsid w:val="00C24CAC"/>
    <w:rsid w:val="00C26279"/>
    <w:rsid w:val="00C26DDB"/>
    <w:rsid w:val="00C2742C"/>
    <w:rsid w:val="00C2759D"/>
    <w:rsid w:val="00C301B5"/>
    <w:rsid w:val="00C33E1A"/>
    <w:rsid w:val="00C35283"/>
    <w:rsid w:val="00C36C93"/>
    <w:rsid w:val="00C40912"/>
    <w:rsid w:val="00C41239"/>
    <w:rsid w:val="00C44676"/>
    <w:rsid w:val="00C44BAC"/>
    <w:rsid w:val="00C44F7A"/>
    <w:rsid w:val="00C45BB4"/>
    <w:rsid w:val="00C45C16"/>
    <w:rsid w:val="00C479F7"/>
    <w:rsid w:val="00C51573"/>
    <w:rsid w:val="00C518B8"/>
    <w:rsid w:val="00C51F92"/>
    <w:rsid w:val="00C53F03"/>
    <w:rsid w:val="00C57032"/>
    <w:rsid w:val="00C60F1A"/>
    <w:rsid w:val="00C635B6"/>
    <w:rsid w:val="00C64306"/>
    <w:rsid w:val="00C64AFE"/>
    <w:rsid w:val="00C65B2D"/>
    <w:rsid w:val="00C66843"/>
    <w:rsid w:val="00C66FFA"/>
    <w:rsid w:val="00C7287B"/>
    <w:rsid w:val="00C73644"/>
    <w:rsid w:val="00C738E2"/>
    <w:rsid w:val="00C742E5"/>
    <w:rsid w:val="00C74F15"/>
    <w:rsid w:val="00C75FCC"/>
    <w:rsid w:val="00C76ED2"/>
    <w:rsid w:val="00C775F5"/>
    <w:rsid w:val="00C8211C"/>
    <w:rsid w:val="00C8298F"/>
    <w:rsid w:val="00C82E14"/>
    <w:rsid w:val="00C830AA"/>
    <w:rsid w:val="00C835F7"/>
    <w:rsid w:val="00C84DA1"/>
    <w:rsid w:val="00C84E7A"/>
    <w:rsid w:val="00C8627C"/>
    <w:rsid w:val="00C9093E"/>
    <w:rsid w:val="00C90BBB"/>
    <w:rsid w:val="00C90F68"/>
    <w:rsid w:val="00C91301"/>
    <w:rsid w:val="00C947D6"/>
    <w:rsid w:val="00C95135"/>
    <w:rsid w:val="00C96386"/>
    <w:rsid w:val="00C964D6"/>
    <w:rsid w:val="00CA0E75"/>
    <w:rsid w:val="00CA2785"/>
    <w:rsid w:val="00CA5D2D"/>
    <w:rsid w:val="00CA6234"/>
    <w:rsid w:val="00CA6AA3"/>
    <w:rsid w:val="00CA7064"/>
    <w:rsid w:val="00CA7648"/>
    <w:rsid w:val="00CB019C"/>
    <w:rsid w:val="00CB0245"/>
    <w:rsid w:val="00CB06C9"/>
    <w:rsid w:val="00CB0C3C"/>
    <w:rsid w:val="00CB122C"/>
    <w:rsid w:val="00CB2382"/>
    <w:rsid w:val="00CB250A"/>
    <w:rsid w:val="00CB32DE"/>
    <w:rsid w:val="00CB3908"/>
    <w:rsid w:val="00CB545C"/>
    <w:rsid w:val="00CB70D7"/>
    <w:rsid w:val="00CC0827"/>
    <w:rsid w:val="00CC1088"/>
    <w:rsid w:val="00CC387B"/>
    <w:rsid w:val="00CC4F5A"/>
    <w:rsid w:val="00CD08DE"/>
    <w:rsid w:val="00CD0B98"/>
    <w:rsid w:val="00CD34CF"/>
    <w:rsid w:val="00CD390C"/>
    <w:rsid w:val="00CD5864"/>
    <w:rsid w:val="00CD69FA"/>
    <w:rsid w:val="00CE34B0"/>
    <w:rsid w:val="00CE4BC3"/>
    <w:rsid w:val="00CE521D"/>
    <w:rsid w:val="00CE681A"/>
    <w:rsid w:val="00CF1519"/>
    <w:rsid w:val="00CF30A3"/>
    <w:rsid w:val="00CF3823"/>
    <w:rsid w:val="00CF4476"/>
    <w:rsid w:val="00CF4674"/>
    <w:rsid w:val="00CF4C4D"/>
    <w:rsid w:val="00CF62F8"/>
    <w:rsid w:val="00CF6FC2"/>
    <w:rsid w:val="00CF7DDE"/>
    <w:rsid w:val="00D0008E"/>
    <w:rsid w:val="00D00827"/>
    <w:rsid w:val="00D028F8"/>
    <w:rsid w:val="00D02EBA"/>
    <w:rsid w:val="00D0626D"/>
    <w:rsid w:val="00D064DD"/>
    <w:rsid w:val="00D10F3C"/>
    <w:rsid w:val="00D110E2"/>
    <w:rsid w:val="00D1369F"/>
    <w:rsid w:val="00D14F44"/>
    <w:rsid w:val="00D159A4"/>
    <w:rsid w:val="00D16786"/>
    <w:rsid w:val="00D170B5"/>
    <w:rsid w:val="00D175D2"/>
    <w:rsid w:val="00D20B0E"/>
    <w:rsid w:val="00D21B9D"/>
    <w:rsid w:val="00D21C4C"/>
    <w:rsid w:val="00D26F1E"/>
    <w:rsid w:val="00D309E0"/>
    <w:rsid w:val="00D3169D"/>
    <w:rsid w:val="00D32114"/>
    <w:rsid w:val="00D32802"/>
    <w:rsid w:val="00D33EA5"/>
    <w:rsid w:val="00D35078"/>
    <w:rsid w:val="00D37516"/>
    <w:rsid w:val="00D375FD"/>
    <w:rsid w:val="00D411BE"/>
    <w:rsid w:val="00D46514"/>
    <w:rsid w:val="00D50507"/>
    <w:rsid w:val="00D51A88"/>
    <w:rsid w:val="00D52592"/>
    <w:rsid w:val="00D52FC6"/>
    <w:rsid w:val="00D5306B"/>
    <w:rsid w:val="00D556D5"/>
    <w:rsid w:val="00D56161"/>
    <w:rsid w:val="00D60F48"/>
    <w:rsid w:val="00D61C97"/>
    <w:rsid w:val="00D6345E"/>
    <w:rsid w:val="00D64E6B"/>
    <w:rsid w:val="00D65B6F"/>
    <w:rsid w:val="00D66F14"/>
    <w:rsid w:val="00D67191"/>
    <w:rsid w:val="00D67FE6"/>
    <w:rsid w:val="00D70B38"/>
    <w:rsid w:val="00D70FE3"/>
    <w:rsid w:val="00D717B6"/>
    <w:rsid w:val="00D733E7"/>
    <w:rsid w:val="00D739BB"/>
    <w:rsid w:val="00D74174"/>
    <w:rsid w:val="00D76127"/>
    <w:rsid w:val="00D771CA"/>
    <w:rsid w:val="00D821B7"/>
    <w:rsid w:val="00D8467F"/>
    <w:rsid w:val="00D86D03"/>
    <w:rsid w:val="00D90BF4"/>
    <w:rsid w:val="00D91B39"/>
    <w:rsid w:val="00D92680"/>
    <w:rsid w:val="00D94D94"/>
    <w:rsid w:val="00D952F5"/>
    <w:rsid w:val="00D95735"/>
    <w:rsid w:val="00D95D5D"/>
    <w:rsid w:val="00D9660A"/>
    <w:rsid w:val="00D96F25"/>
    <w:rsid w:val="00D97303"/>
    <w:rsid w:val="00D97D6E"/>
    <w:rsid w:val="00DA0706"/>
    <w:rsid w:val="00DA1FBD"/>
    <w:rsid w:val="00DA2351"/>
    <w:rsid w:val="00DA327D"/>
    <w:rsid w:val="00DA40AF"/>
    <w:rsid w:val="00DA454A"/>
    <w:rsid w:val="00DA5404"/>
    <w:rsid w:val="00DA6332"/>
    <w:rsid w:val="00DA7C06"/>
    <w:rsid w:val="00DA7E6A"/>
    <w:rsid w:val="00DB09C7"/>
    <w:rsid w:val="00DB5B89"/>
    <w:rsid w:val="00DC0380"/>
    <w:rsid w:val="00DC14F0"/>
    <w:rsid w:val="00DC2970"/>
    <w:rsid w:val="00DC3886"/>
    <w:rsid w:val="00DC4987"/>
    <w:rsid w:val="00DC5B47"/>
    <w:rsid w:val="00DC674E"/>
    <w:rsid w:val="00DC7A67"/>
    <w:rsid w:val="00DC7FF8"/>
    <w:rsid w:val="00DD4C00"/>
    <w:rsid w:val="00DD7219"/>
    <w:rsid w:val="00DD7BA0"/>
    <w:rsid w:val="00DE2988"/>
    <w:rsid w:val="00DE2BAB"/>
    <w:rsid w:val="00DE3E35"/>
    <w:rsid w:val="00DE44AB"/>
    <w:rsid w:val="00DE472F"/>
    <w:rsid w:val="00DE5368"/>
    <w:rsid w:val="00DE5FAA"/>
    <w:rsid w:val="00DE7D5D"/>
    <w:rsid w:val="00DF1AC7"/>
    <w:rsid w:val="00DF1F4A"/>
    <w:rsid w:val="00DF2503"/>
    <w:rsid w:val="00DF2D97"/>
    <w:rsid w:val="00DF3154"/>
    <w:rsid w:val="00DF40E3"/>
    <w:rsid w:val="00DF4B96"/>
    <w:rsid w:val="00DF6B57"/>
    <w:rsid w:val="00DF6DFA"/>
    <w:rsid w:val="00DF7993"/>
    <w:rsid w:val="00E00A0E"/>
    <w:rsid w:val="00E02F3E"/>
    <w:rsid w:val="00E03B2E"/>
    <w:rsid w:val="00E04840"/>
    <w:rsid w:val="00E05A73"/>
    <w:rsid w:val="00E06EFE"/>
    <w:rsid w:val="00E06F17"/>
    <w:rsid w:val="00E07A19"/>
    <w:rsid w:val="00E10C7C"/>
    <w:rsid w:val="00E13D0F"/>
    <w:rsid w:val="00E13DDA"/>
    <w:rsid w:val="00E14B1E"/>
    <w:rsid w:val="00E14DE7"/>
    <w:rsid w:val="00E175DF"/>
    <w:rsid w:val="00E22F8F"/>
    <w:rsid w:val="00E237A7"/>
    <w:rsid w:val="00E23D30"/>
    <w:rsid w:val="00E258E8"/>
    <w:rsid w:val="00E26584"/>
    <w:rsid w:val="00E27056"/>
    <w:rsid w:val="00E30C44"/>
    <w:rsid w:val="00E327F8"/>
    <w:rsid w:val="00E32C7E"/>
    <w:rsid w:val="00E33592"/>
    <w:rsid w:val="00E353FA"/>
    <w:rsid w:val="00E35F3F"/>
    <w:rsid w:val="00E363E3"/>
    <w:rsid w:val="00E371AA"/>
    <w:rsid w:val="00E37693"/>
    <w:rsid w:val="00E37FAA"/>
    <w:rsid w:val="00E410BA"/>
    <w:rsid w:val="00E44575"/>
    <w:rsid w:val="00E44BD6"/>
    <w:rsid w:val="00E51157"/>
    <w:rsid w:val="00E527DE"/>
    <w:rsid w:val="00E53D79"/>
    <w:rsid w:val="00E559E4"/>
    <w:rsid w:val="00E55B5A"/>
    <w:rsid w:val="00E56378"/>
    <w:rsid w:val="00E564B7"/>
    <w:rsid w:val="00E6169A"/>
    <w:rsid w:val="00E637A0"/>
    <w:rsid w:val="00E64EEE"/>
    <w:rsid w:val="00E66684"/>
    <w:rsid w:val="00E7089A"/>
    <w:rsid w:val="00E72F4D"/>
    <w:rsid w:val="00E73ABD"/>
    <w:rsid w:val="00E73D5A"/>
    <w:rsid w:val="00E74B06"/>
    <w:rsid w:val="00E75E33"/>
    <w:rsid w:val="00E76A07"/>
    <w:rsid w:val="00E77703"/>
    <w:rsid w:val="00E80C33"/>
    <w:rsid w:val="00E80C56"/>
    <w:rsid w:val="00E83017"/>
    <w:rsid w:val="00E84100"/>
    <w:rsid w:val="00E85A93"/>
    <w:rsid w:val="00E8654B"/>
    <w:rsid w:val="00E86CE4"/>
    <w:rsid w:val="00E9304C"/>
    <w:rsid w:val="00E93ED1"/>
    <w:rsid w:val="00E9426C"/>
    <w:rsid w:val="00E948E4"/>
    <w:rsid w:val="00E94A57"/>
    <w:rsid w:val="00E94B02"/>
    <w:rsid w:val="00E9508A"/>
    <w:rsid w:val="00E95268"/>
    <w:rsid w:val="00E95ECB"/>
    <w:rsid w:val="00E97346"/>
    <w:rsid w:val="00EA2D62"/>
    <w:rsid w:val="00EA4B86"/>
    <w:rsid w:val="00EA502F"/>
    <w:rsid w:val="00EA70DE"/>
    <w:rsid w:val="00EA73C7"/>
    <w:rsid w:val="00EB2593"/>
    <w:rsid w:val="00EB2F2C"/>
    <w:rsid w:val="00EC02A3"/>
    <w:rsid w:val="00EC0E81"/>
    <w:rsid w:val="00EC1C7D"/>
    <w:rsid w:val="00EC36A2"/>
    <w:rsid w:val="00EC505F"/>
    <w:rsid w:val="00EC5B45"/>
    <w:rsid w:val="00ED183F"/>
    <w:rsid w:val="00ED19BC"/>
    <w:rsid w:val="00ED2483"/>
    <w:rsid w:val="00ED3427"/>
    <w:rsid w:val="00ED4E3E"/>
    <w:rsid w:val="00ED56D0"/>
    <w:rsid w:val="00ED61D0"/>
    <w:rsid w:val="00ED70FC"/>
    <w:rsid w:val="00ED7382"/>
    <w:rsid w:val="00ED74AD"/>
    <w:rsid w:val="00EE07A4"/>
    <w:rsid w:val="00EE2B32"/>
    <w:rsid w:val="00EE2F31"/>
    <w:rsid w:val="00EE390F"/>
    <w:rsid w:val="00EE3D2C"/>
    <w:rsid w:val="00EE42FC"/>
    <w:rsid w:val="00EE45F0"/>
    <w:rsid w:val="00EE48C9"/>
    <w:rsid w:val="00EE587A"/>
    <w:rsid w:val="00EE5E58"/>
    <w:rsid w:val="00EE6AB4"/>
    <w:rsid w:val="00EE76D3"/>
    <w:rsid w:val="00EE7FBA"/>
    <w:rsid w:val="00EF0200"/>
    <w:rsid w:val="00EF06FC"/>
    <w:rsid w:val="00EF15E8"/>
    <w:rsid w:val="00EF2043"/>
    <w:rsid w:val="00EF43E7"/>
    <w:rsid w:val="00EF5511"/>
    <w:rsid w:val="00EF5857"/>
    <w:rsid w:val="00EF58E9"/>
    <w:rsid w:val="00F0201B"/>
    <w:rsid w:val="00F02DBC"/>
    <w:rsid w:val="00F04144"/>
    <w:rsid w:val="00F06FE8"/>
    <w:rsid w:val="00F077B9"/>
    <w:rsid w:val="00F1311C"/>
    <w:rsid w:val="00F158F2"/>
    <w:rsid w:val="00F16A16"/>
    <w:rsid w:val="00F16AC8"/>
    <w:rsid w:val="00F174B9"/>
    <w:rsid w:val="00F2055C"/>
    <w:rsid w:val="00F20F88"/>
    <w:rsid w:val="00F233E3"/>
    <w:rsid w:val="00F2377A"/>
    <w:rsid w:val="00F30A0C"/>
    <w:rsid w:val="00F30F5C"/>
    <w:rsid w:val="00F32564"/>
    <w:rsid w:val="00F32E49"/>
    <w:rsid w:val="00F33460"/>
    <w:rsid w:val="00F33C53"/>
    <w:rsid w:val="00F33DAE"/>
    <w:rsid w:val="00F340BD"/>
    <w:rsid w:val="00F3423A"/>
    <w:rsid w:val="00F34241"/>
    <w:rsid w:val="00F34FCC"/>
    <w:rsid w:val="00F3519C"/>
    <w:rsid w:val="00F35A6D"/>
    <w:rsid w:val="00F36C90"/>
    <w:rsid w:val="00F3783B"/>
    <w:rsid w:val="00F37D61"/>
    <w:rsid w:val="00F37F10"/>
    <w:rsid w:val="00F413B3"/>
    <w:rsid w:val="00F4282D"/>
    <w:rsid w:val="00F45D85"/>
    <w:rsid w:val="00F47694"/>
    <w:rsid w:val="00F4772F"/>
    <w:rsid w:val="00F47B71"/>
    <w:rsid w:val="00F558DD"/>
    <w:rsid w:val="00F57CB8"/>
    <w:rsid w:val="00F6087C"/>
    <w:rsid w:val="00F61841"/>
    <w:rsid w:val="00F6236C"/>
    <w:rsid w:val="00F627AD"/>
    <w:rsid w:val="00F63793"/>
    <w:rsid w:val="00F63F3D"/>
    <w:rsid w:val="00F662BF"/>
    <w:rsid w:val="00F70A03"/>
    <w:rsid w:val="00F71898"/>
    <w:rsid w:val="00F730C6"/>
    <w:rsid w:val="00F73C9A"/>
    <w:rsid w:val="00F73F2A"/>
    <w:rsid w:val="00F74A21"/>
    <w:rsid w:val="00F7785C"/>
    <w:rsid w:val="00F8149F"/>
    <w:rsid w:val="00F82AB8"/>
    <w:rsid w:val="00F832F6"/>
    <w:rsid w:val="00F846D6"/>
    <w:rsid w:val="00F8521A"/>
    <w:rsid w:val="00F85DA1"/>
    <w:rsid w:val="00F87322"/>
    <w:rsid w:val="00F910E1"/>
    <w:rsid w:val="00F91420"/>
    <w:rsid w:val="00F93964"/>
    <w:rsid w:val="00F97116"/>
    <w:rsid w:val="00F9748B"/>
    <w:rsid w:val="00FA068A"/>
    <w:rsid w:val="00FA0B3F"/>
    <w:rsid w:val="00FA0E16"/>
    <w:rsid w:val="00FA41C1"/>
    <w:rsid w:val="00FA4B79"/>
    <w:rsid w:val="00FA69B5"/>
    <w:rsid w:val="00FA78F9"/>
    <w:rsid w:val="00FA7DD8"/>
    <w:rsid w:val="00FB0008"/>
    <w:rsid w:val="00FB4301"/>
    <w:rsid w:val="00FC2367"/>
    <w:rsid w:val="00FC3DC7"/>
    <w:rsid w:val="00FC3F6A"/>
    <w:rsid w:val="00FC44FF"/>
    <w:rsid w:val="00FD0AB7"/>
    <w:rsid w:val="00FD327B"/>
    <w:rsid w:val="00FD4178"/>
    <w:rsid w:val="00FD433D"/>
    <w:rsid w:val="00FD6225"/>
    <w:rsid w:val="00FD75A1"/>
    <w:rsid w:val="00FD7A91"/>
    <w:rsid w:val="00FE006D"/>
    <w:rsid w:val="00FE133D"/>
    <w:rsid w:val="00FE3147"/>
    <w:rsid w:val="00FE3E87"/>
    <w:rsid w:val="00FE4256"/>
    <w:rsid w:val="00FE4BFE"/>
    <w:rsid w:val="00FE5097"/>
    <w:rsid w:val="00FE51AF"/>
    <w:rsid w:val="00FE5360"/>
    <w:rsid w:val="00FE7EEC"/>
    <w:rsid w:val="00FF2D07"/>
    <w:rsid w:val="00FF4232"/>
    <w:rsid w:val="00FF42FC"/>
    <w:rsid w:val="00FF44A8"/>
    <w:rsid w:val="00FF45A4"/>
    <w:rsid w:val="00FF56E4"/>
    <w:rsid w:val="00FF7CD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58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45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1.1.9\Pesquisa\TERMO\TEXTO\Texto%202015\Abril\Grr&#225;ficos%20remo%20abril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1.1.9\Pesquisa\TERMO\TEXTO\Texto%202015\Abril\Grr&#225;ficos%20remo%20abril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1.1.9\Pesquisa\TERMO\TEXTO\Texto%202015\Abril\Grr&#225;ficos%20remo%20abril%202015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61.1.9\Pesquisa\TERMO\PLANILHA\Novo%20Lay\Evolu&#231;&#227;o%20&#250;ltimos%2012%20meses%20P&#243;s%20Re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2.59319242746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'[Grráficos remo abril 2015.xlsx]Plan1'!$A$27:$A$35</c:f>
              <c:strCache>
                <c:ptCount val="9"/>
                <c:pt idx="0">
                  <c:v>Abr.2007</c:v>
                </c:pt>
                <c:pt idx="1">
                  <c:v>Abr.2008</c:v>
                </c:pt>
                <c:pt idx="2">
                  <c:v>.Abr.2009</c:v>
                </c:pt>
                <c:pt idx="3">
                  <c:v>Abr.2010</c:v>
                </c:pt>
                <c:pt idx="4">
                  <c:v>Abr.2011</c:v>
                </c:pt>
                <c:pt idx="5">
                  <c:v>Abr.2012</c:v>
                </c:pt>
                <c:pt idx="6">
                  <c:v>Abr.2013</c:v>
                </c:pt>
                <c:pt idx="7">
                  <c:v>Abr.2014</c:v>
                </c:pt>
                <c:pt idx="8">
                  <c:v>Abr.2015</c:v>
                </c:pt>
              </c:strCache>
            </c:strRef>
          </c:cat>
          <c:val>
            <c:numRef>
              <c:f>'[Grráficos remo abril 2015.xlsx]Plan1'!$B$27:$B$35</c:f>
              <c:numCache>
                <c:formatCode>General</c:formatCode>
                <c:ptCount val="9"/>
                <c:pt idx="0">
                  <c:v>-2.7</c:v>
                </c:pt>
                <c:pt idx="1">
                  <c:v>-1.6</c:v>
                </c:pt>
                <c:pt idx="2">
                  <c:v>3.6</c:v>
                </c:pt>
                <c:pt idx="3">
                  <c:v>-2.2999999999999998</c:v>
                </c:pt>
                <c:pt idx="4">
                  <c:v>2.97</c:v>
                </c:pt>
                <c:pt idx="5">
                  <c:v>-0.51</c:v>
                </c:pt>
                <c:pt idx="6">
                  <c:v>-0.05</c:v>
                </c:pt>
                <c:pt idx="7">
                  <c:v>1.37</c:v>
                </c:pt>
                <c:pt idx="8">
                  <c:v>-1.35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77216"/>
        <c:axId val="137578752"/>
      </c:barChart>
      <c:catAx>
        <c:axId val="137577216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b="1"/>
            </a:pPr>
            <a:endParaRPr lang="pt-BR"/>
          </a:p>
        </c:txPr>
        <c:crossAx val="137578752"/>
        <c:crosses val="autoZero"/>
        <c:auto val="1"/>
        <c:lblAlgn val="ctr"/>
        <c:lblOffset val="100"/>
        <c:noMultiLvlLbl val="0"/>
      </c:catAx>
      <c:valAx>
        <c:axId val="13757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7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2.59319242746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'[Grráficos remo abril 2015.xlsx]Plan1'!$A$27:$A$35</c:f>
              <c:strCache>
                <c:ptCount val="9"/>
                <c:pt idx="0">
                  <c:v>Abr.2007</c:v>
                </c:pt>
                <c:pt idx="1">
                  <c:v>Abr.2008</c:v>
                </c:pt>
                <c:pt idx="2">
                  <c:v>.Abr.2009</c:v>
                </c:pt>
                <c:pt idx="3">
                  <c:v>Abr.2010</c:v>
                </c:pt>
                <c:pt idx="4">
                  <c:v>Abr.2011</c:v>
                </c:pt>
                <c:pt idx="5">
                  <c:v>Abr.2012</c:v>
                </c:pt>
                <c:pt idx="6">
                  <c:v>Abr.2013</c:v>
                </c:pt>
                <c:pt idx="7">
                  <c:v>Abr.2014</c:v>
                </c:pt>
                <c:pt idx="8">
                  <c:v>Abr.2015</c:v>
                </c:pt>
              </c:strCache>
            </c:strRef>
          </c:cat>
          <c:val>
            <c:numRef>
              <c:f>'[Grráficos remo abril 2015.xlsx]Plan1'!$B$27:$B$35</c:f>
              <c:numCache>
                <c:formatCode>General</c:formatCode>
                <c:ptCount val="9"/>
                <c:pt idx="0">
                  <c:v>11.2</c:v>
                </c:pt>
                <c:pt idx="1">
                  <c:v>8.1999999999999993</c:v>
                </c:pt>
                <c:pt idx="2">
                  <c:v>1.1000000000000001</c:v>
                </c:pt>
                <c:pt idx="3">
                  <c:v>3.8</c:v>
                </c:pt>
                <c:pt idx="4">
                  <c:v>4.8600000000000003</c:v>
                </c:pt>
                <c:pt idx="5">
                  <c:v>1.27</c:v>
                </c:pt>
                <c:pt idx="6">
                  <c:v>1.83</c:v>
                </c:pt>
                <c:pt idx="7">
                  <c:v>-0.16</c:v>
                </c:pt>
                <c:pt idx="8">
                  <c:v>-4.29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03328"/>
        <c:axId val="137605120"/>
      </c:barChart>
      <c:catAx>
        <c:axId val="1376033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b="1"/>
            </a:pPr>
            <a:endParaRPr lang="pt-BR"/>
          </a:p>
        </c:txPr>
        <c:crossAx val="137605120"/>
        <c:crosses val="autoZero"/>
        <c:auto val="1"/>
        <c:lblAlgn val="ctr"/>
        <c:lblOffset val="100"/>
        <c:noMultiLvlLbl val="0"/>
      </c:catAx>
      <c:valAx>
        <c:axId val="13760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0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1.6666666666666666E-2"/>
                  <c:y val="0.152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Plan1!$A$1:$A$9</c:f>
              <c:strCache>
                <c:ptCount val="9"/>
                <c:pt idx="0">
                  <c:v>Jan.Abr.2007</c:v>
                </c:pt>
                <c:pt idx="1">
                  <c:v>Jan.Abr.2008</c:v>
                </c:pt>
                <c:pt idx="2">
                  <c:v>Jan.Abr.2009</c:v>
                </c:pt>
                <c:pt idx="3">
                  <c:v>Jan.Abr.2010</c:v>
                </c:pt>
                <c:pt idx="4">
                  <c:v>Jan.Abr.2011</c:v>
                </c:pt>
                <c:pt idx="5">
                  <c:v>Jan.Abr.2012</c:v>
                </c:pt>
                <c:pt idx="6">
                  <c:v>Jan.Abr.2013</c:v>
                </c:pt>
                <c:pt idx="7">
                  <c:v>Jan.Abr.2014</c:v>
                </c:pt>
                <c:pt idx="8">
                  <c:v>Jan.Abr.2015</c:v>
                </c:pt>
              </c:strCache>
            </c:strRef>
          </c:cat>
          <c:val>
            <c:numRef>
              <c:f>Plan1!$B$1:$B$9</c:f>
              <c:numCache>
                <c:formatCode>General</c:formatCode>
                <c:ptCount val="9"/>
                <c:pt idx="0">
                  <c:v>6</c:v>
                </c:pt>
                <c:pt idx="1">
                  <c:v>8.1999999999999993</c:v>
                </c:pt>
                <c:pt idx="2">
                  <c:v>3.3</c:v>
                </c:pt>
                <c:pt idx="3">
                  <c:v>4.9000000000000004</c:v>
                </c:pt>
                <c:pt idx="4">
                  <c:v>5.76</c:v>
                </c:pt>
                <c:pt idx="5">
                  <c:v>4.16</c:v>
                </c:pt>
                <c:pt idx="6">
                  <c:v>4.4000000000000004</c:v>
                </c:pt>
                <c:pt idx="7">
                  <c:v>2.11</c:v>
                </c:pt>
                <c:pt idx="8">
                  <c:v>-2.0699999999999998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20864"/>
        <c:axId val="137622656"/>
      </c:barChart>
      <c:catAx>
        <c:axId val="1376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b="1"/>
            </a:pPr>
            <a:endParaRPr lang="pt-BR"/>
          </a:p>
        </c:txPr>
        <c:crossAx val="137622656"/>
        <c:crosses val="autoZero"/>
        <c:auto val="1"/>
        <c:lblAlgn val="ctr"/>
        <c:lblOffset val="100"/>
        <c:noMultiLvlLbl val="0"/>
      </c:catAx>
      <c:valAx>
        <c:axId val="1376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2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331896469145743E-2"/>
          <c:y val="0.18455293088363955"/>
          <c:w val="0.91166810353085426"/>
          <c:h val="0.78536585365853662"/>
        </c:manualLayout>
      </c:layout>
      <c:lineChart>
        <c:grouping val="stacked"/>
        <c:varyColors val="0"/>
        <c:ser>
          <c:idx val="0"/>
          <c:order val="0"/>
          <c:spPr>
            <a:ln w="317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numRef>
              <c:f>'[Evolução últimos 12 meses Pós Real.xls]Plan1'!$A$75:$A$244</c:f>
              <c:numCache>
                <c:formatCode>mmm\-yy</c:formatCode>
                <c:ptCount val="170"/>
                <c:pt idx="0">
                  <c:v>36951</c:v>
                </c:pt>
                <c:pt idx="1">
                  <c:v>36982</c:v>
                </c:pt>
                <c:pt idx="2">
                  <c:v>37012</c:v>
                </c:pt>
                <c:pt idx="3">
                  <c:v>37043</c:v>
                </c:pt>
                <c:pt idx="4">
                  <c:v>37073</c:v>
                </c:pt>
                <c:pt idx="5">
                  <c:v>37104</c:v>
                </c:pt>
                <c:pt idx="6">
                  <c:v>37135</c:v>
                </c:pt>
                <c:pt idx="7">
                  <c:v>37165</c:v>
                </c:pt>
                <c:pt idx="8">
                  <c:v>37196</c:v>
                </c:pt>
                <c:pt idx="9">
                  <c:v>37226</c:v>
                </c:pt>
                <c:pt idx="10">
                  <c:v>37257</c:v>
                </c:pt>
                <c:pt idx="11">
                  <c:v>37288</c:v>
                </c:pt>
                <c:pt idx="12">
                  <c:v>37316</c:v>
                </c:pt>
                <c:pt idx="13">
                  <c:v>37347</c:v>
                </c:pt>
                <c:pt idx="14">
                  <c:v>37377</c:v>
                </c:pt>
                <c:pt idx="15">
                  <c:v>37408</c:v>
                </c:pt>
                <c:pt idx="16">
                  <c:v>37438</c:v>
                </c:pt>
                <c:pt idx="17">
                  <c:v>37469</c:v>
                </c:pt>
                <c:pt idx="18">
                  <c:v>37500</c:v>
                </c:pt>
                <c:pt idx="19">
                  <c:v>37530</c:v>
                </c:pt>
                <c:pt idx="20">
                  <c:v>37561</c:v>
                </c:pt>
                <c:pt idx="21">
                  <c:v>37591</c:v>
                </c:pt>
                <c:pt idx="22">
                  <c:v>37622</c:v>
                </c:pt>
                <c:pt idx="23">
                  <c:v>37653</c:v>
                </c:pt>
                <c:pt idx="24">
                  <c:v>37681</c:v>
                </c:pt>
                <c:pt idx="25">
                  <c:v>37712</c:v>
                </c:pt>
                <c:pt idx="26">
                  <c:v>37742</c:v>
                </c:pt>
                <c:pt idx="27">
                  <c:v>37773</c:v>
                </c:pt>
                <c:pt idx="28">
                  <c:v>37803</c:v>
                </c:pt>
                <c:pt idx="29">
                  <c:v>37834</c:v>
                </c:pt>
                <c:pt idx="30">
                  <c:v>37865</c:v>
                </c:pt>
                <c:pt idx="31">
                  <c:v>37895</c:v>
                </c:pt>
                <c:pt idx="32">
                  <c:v>37926</c:v>
                </c:pt>
                <c:pt idx="33">
                  <c:v>37956</c:v>
                </c:pt>
                <c:pt idx="34">
                  <c:v>37987</c:v>
                </c:pt>
                <c:pt idx="35">
                  <c:v>38018</c:v>
                </c:pt>
                <c:pt idx="36">
                  <c:v>38047</c:v>
                </c:pt>
                <c:pt idx="37">
                  <c:v>38078</c:v>
                </c:pt>
                <c:pt idx="38">
                  <c:v>38108</c:v>
                </c:pt>
                <c:pt idx="39">
                  <c:v>38139</c:v>
                </c:pt>
                <c:pt idx="40">
                  <c:v>38169</c:v>
                </c:pt>
                <c:pt idx="41">
                  <c:v>38200</c:v>
                </c:pt>
                <c:pt idx="42">
                  <c:v>38231</c:v>
                </c:pt>
                <c:pt idx="43">
                  <c:v>38261</c:v>
                </c:pt>
                <c:pt idx="44">
                  <c:v>38292</c:v>
                </c:pt>
                <c:pt idx="45">
                  <c:v>38322</c:v>
                </c:pt>
                <c:pt idx="46">
                  <c:v>38353</c:v>
                </c:pt>
                <c:pt idx="47">
                  <c:v>38384</c:v>
                </c:pt>
                <c:pt idx="48">
                  <c:v>38412</c:v>
                </c:pt>
                <c:pt idx="49">
                  <c:v>38443</c:v>
                </c:pt>
                <c:pt idx="50">
                  <c:v>38473</c:v>
                </c:pt>
                <c:pt idx="51">
                  <c:v>38504</c:v>
                </c:pt>
                <c:pt idx="52">
                  <c:v>38534</c:v>
                </c:pt>
                <c:pt idx="53">
                  <c:v>38565</c:v>
                </c:pt>
                <c:pt idx="54">
                  <c:v>38596</c:v>
                </c:pt>
                <c:pt idx="55">
                  <c:v>38626</c:v>
                </c:pt>
                <c:pt idx="56">
                  <c:v>38657</c:v>
                </c:pt>
                <c:pt idx="57">
                  <c:v>38687</c:v>
                </c:pt>
                <c:pt idx="58">
                  <c:v>38718</c:v>
                </c:pt>
                <c:pt idx="59">
                  <c:v>38749</c:v>
                </c:pt>
                <c:pt idx="60">
                  <c:v>38777</c:v>
                </c:pt>
                <c:pt idx="61">
                  <c:v>38808</c:v>
                </c:pt>
                <c:pt idx="62">
                  <c:v>38838</c:v>
                </c:pt>
                <c:pt idx="63">
                  <c:v>38869</c:v>
                </c:pt>
                <c:pt idx="64">
                  <c:v>38899</c:v>
                </c:pt>
                <c:pt idx="65">
                  <c:v>38930</c:v>
                </c:pt>
                <c:pt idx="66">
                  <c:v>38961</c:v>
                </c:pt>
                <c:pt idx="67">
                  <c:v>38991</c:v>
                </c:pt>
                <c:pt idx="68">
                  <c:v>39022</c:v>
                </c:pt>
                <c:pt idx="69">
                  <c:v>39052</c:v>
                </c:pt>
                <c:pt idx="70">
                  <c:v>39083</c:v>
                </c:pt>
                <c:pt idx="71">
                  <c:v>39114</c:v>
                </c:pt>
                <c:pt idx="72">
                  <c:v>39142</c:v>
                </c:pt>
                <c:pt idx="73">
                  <c:v>39173</c:v>
                </c:pt>
                <c:pt idx="74">
                  <c:v>39203</c:v>
                </c:pt>
                <c:pt idx="75">
                  <c:v>39234</c:v>
                </c:pt>
                <c:pt idx="76">
                  <c:v>39264</c:v>
                </c:pt>
                <c:pt idx="77">
                  <c:v>39295</c:v>
                </c:pt>
                <c:pt idx="78">
                  <c:v>39326</c:v>
                </c:pt>
                <c:pt idx="79">
                  <c:v>39356</c:v>
                </c:pt>
                <c:pt idx="80">
                  <c:v>39387</c:v>
                </c:pt>
                <c:pt idx="81">
                  <c:v>39417</c:v>
                </c:pt>
                <c:pt idx="82">
                  <c:v>39448</c:v>
                </c:pt>
                <c:pt idx="83">
                  <c:v>39479</c:v>
                </c:pt>
                <c:pt idx="84">
                  <c:v>39508</c:v>
                </c:pt>
                <c:pt idx="85">
                  <c:v>39539</c:v>
                </c:pt>
                <c:pt idx="86">
                  <c:v>39569</c:v>
                </c:pt>
                <c:pt idx="87">
                  <c:v>39600</c:v>
                </c:pt>
                <c:pt idx="88">
                  <c:v>39630</c:v>
                </c:pt>
                <c:pt idx="89">
                  <c:v>39661</c:v>
                </c:pt>
                <c:pt idx="90">
                  <c:v>39692</c:v>
                </c:pt>
                <c:pt idx="91">
                  <c:v>39722</c:v>
                </c:pt>
                <c:pt idx="92">
                  <c:v>39753</c:v>
                </c:pt>
                <c:pt idx="93">
                  <c:v>39783</c:v>
                </c:pt>
                <c:pt idx="94">
                  <c:v>39814</c:v>
                </c:pt>
                <c:pt idx="95">
                  <c:v>39845</c:v>
                </c:pt>
                <c:pt idx="96">
                  <c:v>39873</c:v>
                </c:pt>
                <c:pt idx="97">
                  <c:v>39904</c:v>
                </c:pt>
                <c:pt idx="98">
                  <c:v>39934</c:v>
                </c:pt>
                <c:pt idx="99">
                  <c:v>39965</c:v>
                </c:pt>
                <c:pt idx="100">
                  <c:v>39995</c:v>
                </c:pt>
                <c:pt idx="101">
                  <c:v>40026</c:v>
                </c:pt>
                <c:pt idx="102">
                  <c:v>40057</c:v>
                </c:pt>
                <c:pt idx="103">
                  <c:v>40087</c:v>
                </c:pt>
                <c:pt idx="104">
                  <c:v>40118</c:v>
                </c:pt>
                <c:pt idx="105">
                  <c:v>40148</c:v>
                </c:pt>
                <c:pt idx="106">
                  <c:v>40179</c:v>
                </c:pt>
                <c:pt idx="107">
                  <c:v>40210</c:v>
                </c:pt>
                <c:pt idx="108">
                  <c:v>40238</c:v>
                </c:pt>
                <c:pt idx="109">
                  <c:v>40269</c:v>
                </c:pt>
                <c:pt idx="110">
                  <c:v>40299</c:v>
                </c:pt>
                <c:pt idx="111">
                  <c:v>40330</c:v>
                </c:pt>
                <c:pt idx="112">
                  <c:v>40360</c:v>
                </c:pt>
                <c:pt idx="113">
                  <c:v>40391</c:v>
                </c:pt>
                <c:pt idx="114">
                  <c:v>40422</c:v>
                </c:pt>
                <c:pt idx="115">
                  <c:v>40452</c:v>
                </c:pt>
                <c:pt idx="116">
                  <c:v>40483</c:v>
                </c:pt>
                <c:pt idx="117">
                  <c:v>40513</c:v>
                </c:pt>
                <c:pt idx="118">
                  <c:v>40544</c:v>
                </c:pt>
                <c:pt idx="119">
                  <c:v>40575</c:v>
                </c:pt>
                <c:pt idx="120">
                  <c:v>40603</c:v>
                </c:pt>
                <c:pt idx="121">
                  <c:v>40634</c:v>
                </c:pt>
                <c:pt idx="122">
                  <c:v>40664</c:v>
                </c:pt>
                <c:pt idx="123">
                  <c:v>40695</c:v>
                </c:pt>
                <c:pt idx="124">
                  <c:v>40725</c:v>
                </c:pt>
                <c:pt idx="125">
                  <c:v>40756</c:v>
                </c:pt>
                <c:pt idx="126">
                  <c:v>40787</c:v>
                </c:pt>
                <c:pt idx="127">
                  <c:v>40817</c:v>
                </c:pt>
                <c:pt idx="128">
                  <c:v>40848</c:v>
                </c:pt>
                <c:pt idx="129">
                  <c:v>40878</c:v>
                </c:pt>
                <c:pt idx="130">
                  <c:v>40909</c:v>
                </c:pt>
                <c:pt idx="131">
                  <c:v>40940</c:v>
                </c:pt>
                <c:pt idx="132">
                  <c:v>40969</c:v>
                </c:pt>
                <c:pt idx="133">
                  <c:v>41000</c:v>
                </c:pt>
                <c:pt idx="134">
                  <c:v>41030</c:v>
                </c:pt>
                <c:pt idx="135">
                  <c:v>41061</c:v>
                </c:pt>
                <c:pt idx="136">
                  <c:v>41091</c:v>
                </c:pt>
                <c:pt idx="137">
                  <c:v>41122</c:v>
                </c:pt>
                <c:pt idx="138">
                  <c:v>41153</c:v>
                </c:pt>
                <c:pt idx="139">
                  <c:v>41183</c:v>
                </c:pt>
                <c:pt idx="140">
                  <c:v>41214</c:v>
                </c:pt>
                <c:pt idx="141">
                  <c:v>41244</c:v>
                </c:pt>
                <c:pt idx="142">
                  <c:v>41275</c:v>
                </c:pt>
                <c:pt idx="143">
                  <c:v>41306</c:v>
                </c:pt>
                <c:pt idx="144">
                  <c:v>41334</c:v>
                </c:pt>
                <c:pt idx="145">
                  <c:v>41365</c:v>
                </c:pt>
                <c:pt idx="146">
                  <c:v>41395</c:v>
                </c:pt>
                <c:pt idx="147">
                  <c:v>41426</c:v>
                </c:pt>
                <c:pt idx="148">
                  <c:v>41456</c:v>
                </c:pt>
                <c:pt idx="149">
                  <c:v>41487</c:v>
                </c:pt>
                <c:pt idx="150">
                  <c:v>41518</c:v>
                </c:pt>
                <c:pt idx="151">
                  <c:v>41548</c:v>
                </c:pt>
                <c:pt idx="152">
                  <c:v>41579</c:v>
                </c:pt>
                <c:pt idx="153">
                  <c:v>41609</c:v>
                </c:pt>
                <c:pt idx="154">
                  <c:v>41640</c:v>
                </c:pt>
                <c:pt idx="155">
                  <c:v>41671</c:v>
                </c:pt>
                <c:pt idx="156">
                  <c:v>41699</c:v>
                </c:pt>
                <c:pt idx="157">
                  <c:v>41730</c:v>
                </c:pt>
                <c:pt idx="158">
                  <c:v>41760</c:v>
                </c:pt>
                <c:pt idx="159">
                  <c:v>41791</c:v>
                </c:pt>
                <c:pt idx="160">
                  <c:v>41821</c:v>
                </c:pt>
                <c:pt idx="161">
                  <c:v>41852</c:v>
                </c:pt>
                <c:pt idx="162">
                  <c:v>41883</c:v>
                </c:pt>
                <c:pt idx="163">
                  <c:v>41913</c:v>
                </c:pt>
                <c:pt idx="164">
                  <c:v>41944</c:v>
                </c:pt>
                <c:pt idx="165">
                  <c:v>41974</c:v>
                </c:pt>
                <c:pt idx="166">
                  <c:v>42005</c:v>
                </c:pt>
                <c:pt idx="167">
                  <c:v>42036</c:v>
                </c:pt>
                <c:pt idx="168">
                  <c:v>42064</c:v>
                </c:pt>
                <c:pt idx="169">
                  <c:v>42095</c:v>
                </c:pt>
              </c:numCache>
            </c:numRef>
          </c:cat>
          <c:val>
            <c:numRef>
              <c:f>'[Evolução últimos 12 meses Pós Real.xls]Plan1'!$B$75:$B$244</c:f>
              <c:numCache>
                <c:formatCode>0.00</c:formatCode>
                <c:ptCount val="170"/>
                <c:pt idx="0">
                  <c:v>10.3</c:v>
                </c:pt>
                <c:pt idx="1">
                  <c:v>11.5</c:v>
                </c:pt>
                <c:pt idx="2">
                  <c:v>11.2</c:v>
                </c:pt>
                <c:pt idx="3">
                  <c:v>10.3</c:v>
                </c:pt>
                <c:pt idx="4">
                  <c:v>8.9</c:v>
                </c:pt>
                <c:pt idx="5">
                  <c:v>7.2</c:v>
                </c:pt>
                <c:pt idx="6">
                  <c:v>5.7</c:v>
                </c:pt>
                <c:pt idx="7">
                  <c:v>4.2</c:v>
                </c:pt>
                <c:pt idx="8">
                  <c:v>2.5</c:v>
                </c:pt>
                <c:pt idx="9">
                  <c:v>0.9</c:v>
                </c:pt>
                <c:pt idx="10">
                  <c:v>-0.4</c:v>
                </c:pt>
                <c:pt idx="11">
                  <c:v>-1.1000000000000001</c:v>
                </c:pt>
                <c:pt idx="12">
                  <c:v>-3.5</c:v>
                </c:pt>
                <c:pt idx="13">
                  <c:v>-5.3</c:v>
                </c:pt>
                <c:pt idx="14">
                  <c:v>-5.8</c:v>
                </c:pt>
                <c:pt idx="15">
                  <c:v>-5.9</c:v>
                </c:pt>
                <c:pt idx="16">
                  <c:v>-5.0999999999999996</c:v>
                </c:pt>
                <c:pt idx="17">
                  <c:v>-3.6</c:v>
                </c:pt>
                <c:pt idx="18">
                  <c:v>-2.1</c:v>
                </c:pt>
                <c:pt idx="19">
                  <c:v>-1.4</c:v>
                </c:pt>
                <c:pt idx="20">
                  <c:v>0.4</c:v>
                </c:pt>
                <c:pt idx="21">
                  <c:v>2.7</c:v>
                </c:pt>
                <c:pt idx="22">
                  <c:v>2.9</c:v>
                </c:pt>
                <c:pt idx="23">
                  <c:v>4.8</c:v>
                </c:pt>
                <c:pt idx="24">
                  <c:v>4.5</c:v>
                </c:pt>
                <c:pt idx="25">
                  <c:v>4.5</c:v>
                </c:pt>
                <c:pt idx="26">
                  <c:v>3.8</c:v>
                </c:pt>
                <c:pt idx="27">
                  <c:v>3.6</c:v>
                </c:pt>
                <c:pt idx="28">
                  <c:v>2.5</c:v>
                </c:pt>
                <c:pt idx="29">
                  <c:v>0.5</c:v>
                </c:pt>
                <c:pt idx="30">
                  <c:v>-0.7</c:v>
                </c:pt>
                <c:pt idx="31">
                  <c:v>-1.4</c:v>
                </c:pt>
                <c:pt idx="32">
                  <c:v>-2.5</c:v>
                </c:pt>
                <c:pt idx="33">
                  <c:v>-3.8</c:v>
                </c:pt>
                <c:pt idx="34">
                  <c:v>-1.8</c:v>
                </c:pt>
                <c:pt idx="35">
                  <c:v>-3.6</c:v>
                </c:pt>
                <c:pt idx="36">
                  <c:v>0.9</c:v>
                </c:pt>
                <c:pt idx="37">
                  <c:v>3.2</c:v>
                </c:pt>
                <c:pt idx="38">
                  <c:v>4.5</c:v>
                </c:pt>
                <c:pt idx="39">
                  <c:v>6.7</c:v>
                </c:pt>
                <c:pt idx="40">
                  <c:v>9.1</c:v>
                </c:pt>
                <c:pt idx="41">
                  <c:v>11.6</c:v>
                </c:pt>
                <c:pt idx="42">
                  <c:v>14.2</c:v>
                </c:pt>
                <c:pt idx="43">
                  <c:v>15.3</c:v>
                </c:pt>
                <c:pt idx="44">
                  <c:v>16.8</c:v>
                </c:pt>
                <c:pt idx="45">
                  <c:v>17</c:v>
                </c:pt>
                <c:pt idx="46">
                  <c:v>14.8</c:v>
                </c:pt>
                <c:pt idx="47">
                  <c:v>16.8</c:v>
                </c:pt>
                <c:pt idx="48">
                  <c:v>13.7</c:v>
                </c:pt>
                <c:pt idx="49">
                  <c:v>12.5</c:v>
                </c:pt>
                <c:pt idx="50">
                  <c:v>13.2</c:v>
                </c:pt>
                <c:pt idx="51">
                  <c:v>11.4</c:v>
                </c:pt>
                <c:pt idx="52">
                  <c:v>9.6999999999999993</c:v>
                </c:pt>
                <c:pt idx="53">
                  <c:v>8.8000000000000007</c:v>
                </c:pt>
                <c:pt idx="54">
                  <c:v>7.1</c:v>
                </c:pt>
                <c:pt idx="55">
                  <c:v>6.8</c:v>
                </c:pt>
                <c:pt idx="56">
                  <c:v>6.1</c:v>
                </c:pt>
                <c:pt idx="57">
                  <c:v>6.2</c:v>
                </c:pt>
                <c:pt idx="58">
                  <c:v>4.9000000000000004</c:v>
                </c:pt>
                <c:pt idx="59">
                  <c:v>2.9</c:v>
                </c:pt>
                <c:pt idx="60">
                  <c:v>2.8</c:v>
                </c:pt>
                <c:pt idx="61">
                  <c:v>1.3</c:v>
                </c:pt>
                <c:pt idx="62">
                  <c:v>0.2</c:v>
                </c:pt>
                <c:pt idx="63">
                  <c:v>-0.7</c:v>
                </c:pt>
                <c:pt idx="64">
                  <c:v>-1.1000000000000001</c:v>
                </c:pt>
                <c:pt idx="65">
                  <c:v>-1.5</c:v>
                </c:pt>
                <c:pt idx="66">
                  <c:v>-0.9</c:v>
                </c:pt>
                <c:pt idx="67">
                  <c:v>-0.7</c:v>
                </c:pt>
                <c:pt idx="68">
                  <c:v>-0.4</c:v>
                </c:pt>
                <c:pt idx="69">
                  <c:v>-0.3</c:v>
                </c:pt>
                <c:pt idx="70">
                  <c:v>0.4</c:v>
                </c:pt>
                <c:pt idx="71">
                  <c:v>1.2</c:v>
                </c:pt>
                <c:pt idx="72">
                  <c:v>1.5</c:v>
                </c:pt>
                <c:pt idx="73">
                  <c:v>3.3</c:v>
                </c:pt>
                <c:pt idx="74">
                  <c:v>4</c:v>
                </c:pt>
                <c:pt idx="75">
                  <c:v>5.3</c:v>
                </c:pt>
                <c:pt idx="76">
                  <c:v>5.9</c:v>
                </c:pt>
                <c:pt idx="77">
                  <c:v>6.1</c:v>
                </c:pt>
                <c:pt idx="78">
                  <c:v>5.7</c:v>
                </c:pt>
                <c:pt idx="79">
                  <c:v>6.2</c:v>
                </c:pt>
                <c:pt idx="80">
                  <c:v>4.8</c:v>
                </c:pt>
                <c:pt idx="81">
                  <c:v>6.4</c:v>
                </c:pt>
                <c:pt idx="82">
                  <c:v>5.4</c:v>
                </c:pt>
                <c:pt idx="83">
                  <c:v>5.6</c:v>
                </c:pt>
                <c:pt idx="84">
                  <c:v>5.8</c:v>
                </c:pt>
                <c:pt idx="85">
                  <c:v>6.2</c:v>
                </c:pt>
                <c:pt idx="86">
                  <c:v>6.4</c:v>
                </c:pt>
                <c:pt idx="87">
                  <c:v>5.8</c:v>
                </c:pt>
                <c:pt idx="88">
                  <c:v>5.3</c:v>
                </c:pt>
                <c:pt idx="89">
                  <c:v>5.9</c:v>
                </c:pt>
                <c:pt idx="90">
                  <c:v>5.8</c:v>
                </c:pt>
                <c:pt idx="91">
                  <c:v>5.0999999999999996</c:v>
                </c:pt>
                <c:pt idx="92">
                  <c:v>4</c:v>
                </c:pt>
                <c:pt idx="93">
                  <c:v>4</c:v>
                </c:pt>
                <c:pt idx="94">
                  <c:v>3.4</c:v>
                </c:pt>
                <c:pt idx="95">
                  <c:v>1.7</c:v>
                </c:pt>
                <c:pt idx="96">
                  <c:v>2</c:v>
                </c:pt>
                <c:pt idx="97">
                  <c:v>2.4</c:v>
                </c:pt>
                <c:pt idx="98">
                  <c:v>2.6</c:v>
                </c:pt>
                <c:pt idx="99">
                  <c:v>2.7</c:v>
                </c:pt>
                <c:pt idx="100">
                  <c:v>3.2</c:v>
                </c:pt>
                <c:pt idx="101">
                  <c:v>3.3</c:v>
                </c:pt>
                <c:pt idx="102">
                  <c:v>3.8</c:v>
                </c:pt>
                <c:pt idx="103">
                  <c:v>4.5999999999999996</c:v>
                </c:pt>
                <c:pt idx="104">
                  <c:v>5</c:v>
                </c:pt>
                <c:pt idx="105">
                  <c:v>6.1</c:v>
                </c:pt>
                <c:pt idx="106">
                  <c:v>5.2</c:v>
                </c:pt>
                <c:pt idx="107">
                  <c:v>4.2</c:v>
                </c:pt>
                <c:pt idx="108">
                  <c:v>7.2</c:v>
                </c:pt>
                <c:pt idx="109">
                  <c:v>5.3</c:v>
                </c:pt>
                <c:pt idx="110">
                  <c:v>5.7</c:v>
                </c:pt>
                <c:pt idx="111">
                  <c:v>6.3</c:v>
                </c:pt>
                <c:pt idx="112">
                  <c:v>6.9</c:v>
                </c:pt>
                <c:pt idx="113">
                  <c:v>7.1</c:v>
                </c:pt>
                <c:pt idx="114">
                  <c:v>7.5</c:v>
                </c:pt>
                <c:pt idx="115">
                  <c:v>7.6</c:v>
                </c:pt>
                <c:pt idx="116">
                  <c:v>8.1</c:v>
                </c:pt>
                <c:pt idx="117">
                  <c:v>10.1</c:v>
                </c:pt>
                <c:pt idx="118">
                  <c:v>7.9</c:v>
                </c:pt>
                <c:pt idx="119">
                  <c:v>5.9</c:v>
                </c:pt>
                <c:pt idx="120">
                  <c:v>5.21</c:v>
                </c:pt>
                <c:pt idx="121">
                  <c:v>5.89</c:v>
                </c:pt>
                <c:pt idx="122">
                  <c:v>6.05</c:v>
                </c:pt>
                <c:pt idx="123">
                  <c:v>6.8</c:v>
                </c:pt>
                <c:pt idx="124">
                  <c:v>7.03</c:v>
                </c:pt>
                <c:pt idx="125">
                  <c:v>7.15</c:v>
                </c:pt>
                <c:pt idx="126">
                  <c:v>6.35</c:v>
                </c:pt>
                <c:pt idx="127">
                  <c:v>6.43</c:v>
                </c:pt>
                <c:pt idx="128">
                  <c:v>6.59</c:v>
                </c:pt>
                <c:pt idx="129">
                  <c:v>7.31</c:v>
                </c:pt>
                <c:pt idx="130">
                  <c:v>5.37</c:v>
                </c:pt>
                <c:pt idx="131">
                  <c:v>3.53</c:v>
                </c:pt>
                <c:pt idx="132">
                  <c:v>3.12</c:v>
                </c:pt>
                <c:pt idx="133">
                  <c:v>3.01</c:v>
                </c:pt>
                <c:pt idx="134">
                  <c:v>3.97</c:v>
                </c:pt>
                <c:pt idx="135">
                  <c:v>4.93</c:v>
                </c:pt>
                <c:pt idx="136">
                  <c:v>5.31</c:v>
                </c:pt>
                <c:pt idx="137">
                  <c:v>6.01</c:v>
                </c:pt>
                <c:pt idx="138">
                  <c:v>6.15</c:v>
                </c:pt>
                <c:pt idx="139">
                  <c:v>6.49</c:v>
                </c:pt>
                <c:pt idx="140">
                  <c:v>7.1</c:v>
                </c:pt>
                <c:pt idx="141">
                  <c:v>9.17</c:v>
                </c:pt>
                <c:pt idx="142">
                  <c:v>9.3699999999999992</c:v>
                </c:pt>
                <c:pt idx="143">
                  <c:v>9.41</c:v>
                </c:pt>
                <c:pt idx="144">
                  <c:v>9.44</c:v>
                </c:pt>
                <c:pt idx="145">
                  <c:v>9.4600000000000009</c:v>
                </c:pt>
                <c:pt idx="146">
                  <c:v>7.71</c:v>
                </c:pt>
                <c:pt idx="147">
                  <c:v>7.05</c:v>
                </c:pt>
                <c:pt idx="148">
                  <c:v>6.12</c:v>
                </c:pt>
                <c:pt idx="149">
                  <c:v>5.69</c:v>
                </c:pt>
                <c:pt idx="150">
                  <c:v>5.17</c:v>
                </c:pt>
                <c:pt idx="151">
                  <c:v>5.29</c:v>
                </c:pt>
                <c:pt idx="152">
                  <c:v>5.05</c:v>
                </c:pt>
                <c:pt idx="153">
                  <c:v>4.54</c:v>
                </c:pt>
                <c:pt idx="154">
                  <c:v>3.91</c:v>
                </c:pt>
                <c:pt idx="155">
                  <c:v>3.86</c:v>
                </c:pt>
                <c:pt idx="156">
                  <c:v>3.62</c:v>
                </c:pt>
                <c:pt idx="157">
                  <c:v>3.58</c:v>
                </c:pt>
                <c:pt idx="158">
                  <c:v>4.03</c:v>
                </c:pt>
                <c:pt idx="159">
                  <c:v>3.96</c:v>
                </c:pt>
                <c:pt idx="160">
                  <c:v>3.2</c:v>
                </c:pt>
                <c:pt idx="161">
                  <c:v>3.67</c:v>
                </c:pt>
                <c:pt idx="162">
                  <c:v>3.24</c:v>
                </c:pt>
                <c:pt idx="163">
                  <c:v>3.18</c:v>
                </c:pt>
                <c:pt idx="164">
                  <c:v>2.87</c:v>
                </c:pt>
                <c:pt idx="165">
                  <c:v>2.08</c:v>
                </c:pt>
                <c:pt idx="166">
                  <c:v>1.81</c:v>
                </c:pt>
                <c:pt idx="167">
                  <c:v>-2.2000000000000002</c:v>
                </c:pt>
                <c:pt idx="168">
                  <c:v>-0.42</c:v>
                </c:pt>
                <c:pt idx="169">
                  <c:v>-1.3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234560"/>
        <c:axId val="141236096"/>
      </c:lineChart>
      <c:dateAx>
        <c:axId val="141234560"/>
        <c:scaling>
          <c:orientation val="minMax"/>
        </c:scaling>
        <c:delete val="0"/>
        <c:axPos val="b"/>
        <c:numFmt formatCode="[$-416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41236096"/>
        <c:crosses val="autoZero"/>
        <c:auto val="1"/>
        <c:lblOffset val="100"/>
        <c:baseTimeUnit val="months"/>
        <c:majorUnit val="6"/>
        <c:majorTimeUnit val="months"/>
      </c:dateAx>
      <c:valAx>
        <c:axId val="141236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41234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0.11072</cdr:x>
      <cdr:y>0.74709</cdr:y>
    </cdr:from>
    <cdr:to>
      <cdr:x>0.12328</cdr:x>
      <cdr:y>0.7832</cdr:y>
    </cdr:to>
    <cdr:sp macro="" textlink="">
      <cdr:nvSpPr>
        <cdr:cNvPr id="2144" name="Text Box 9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0534" y="2930722"/>
          <a:ext cx="76216" cy="143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0.73282</cdr:x>
      <cdr:y>0.30487</cdr:y>
    </cdr:from>
    <cdr:to>
      <cdr:x>0.75969</cdr:x>
      <cdr:y>0.49122</cdr:y>
    </cdr:to>
    <cdr:sp macro="" textlink="">
      <cdr:nvSpPr>
        <cdr:cNvPr id="2148" name="Text Box 10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8396" y="1201432"/>
          <a:ext cx="171893" cy="723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0.93683</cdr:x>
      <cdr:y>0.74709</cdr:y>
    </cdr:from>
    <cdr:to>
      <cdr:x>0.94471</cdr:x>
      <cdr:y>0.79783</cdr:y>
    </cdr:to>
    <cdr:sp macro="" textlink="">
      <cdr:nvSpPr>
        <cdr:cNvPr id="2150" name="Text Box 10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59485" y="2930722"/>
          <a:ext cx="56757" cy="199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0.11671</cdr:x>
      <cdr:y>0.03095</cdr:y>
    </cdr:from>
    <cdr:to>
      <cdr:x>0.92175</cdr:x>
      <cdr:y>0.14387</cdr:y>
    </cdr:to>
    <cdr:sp macro="" textlink="">
      <cdr:nvSpPr>
        <cdr:cNvPr id="2151" name="Text Box 10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13787" y="119393"/>
          <a:ext cx="6303101" cy="435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t-BR" sz="1200" b="1" i="0" strike="noStrike">
              <a:solidFill>
                <a:srgbClr val="000000"/>
              </a:solidFill>
              <a:latin typeface="Arial"/>
              <a:cs typeface="Arial"/>
            </a:rPr>
            <a:t>Comércio Varejista em Belo Horizonte (Acumulado</a:t>
          </a:r>
          <a:r>
            <a:rPr lang="pt-BR" sz="1200" b="1" i="0" strike="noStrike" baseline="0">
              <a:solidFill>
                <a:srgbClr val="000000"/>
              </a:solidFill>
              <a:latin typeface="Arial"/>
              <a:cs typeface="Arial"/>
            </a:rPr>
            <a:t> dos últimos 12 meses)</a:t>
          </a:r>
          <a:endParaRPr lang="pt-BR" sz="1200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0.11072</cdr:x>
      <cdr:y>0.74709</cdr:y>
    </cdr:from>
    <cdr:to>
      <cdr:x>0.12328</cdr:x>
      <cdr:y>0.7832</cdr:y>
    </cdr:to>
    <cdr:sp macro="" textlink="">
      <cdr:nvSpPr>
        <cdr:cNvPr id="2" name="Text Box 9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0534" y="2930722"/>
          <a:ext cx="76216" cy="143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0.73282</cdr:x>
      <cdr:y>0.30487</cdr:y>
    </cdr:from>
    <cdr:to>
      <cdr:x>0.75969</cdr:x>
      <cdr:y>0.49122</cdr:y>
    </cdr:to>
    <cdr:sp macro="" textlink="">
      <cdr:nvSpPr>
        <cdr:cNvPr id="4" name="Text Box 10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8396" y="1201432"/>
          <a:ext cx="171893" cy="723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0.93683</cdr:x>
      <cdr:y>0.74709</cdr:y>
    </cdr:from>
    <cdr:to>
      <cdr:x>0.94471</cdr:x>
      <cdr:y>0.79783</cdr:y>
    </cdr:to>
    <cdr:sp macro="" textlink="">
      <cdr:nvSpPr>
        <cdr:cNvPr id="6" name="Text Box 10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59485" y="2930722"/>
          <a:ext cx="56757" cy="199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0.11072</cdr:x>
      <cdr:y>0.74709</cdr:y>
    </cdr:from>
    <cdr:to>
      <cdr:x>0.12328</cdr:x>
      <cdr:y>0.7832</cdr:y>
    </cdr:to>
    <cdr:sp macro="" textlink="">
      <cdr:nvSpPr>
        <cdr:cNvPr id="8" name="Text Box 9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0534" y="2930722"/>
          <a:ext cx="76216" cy="143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0.73282</cdr:x>
      <cdr:y>0.30487</cdr:y>
    </cdr:from>
    <cdr:to>
      <cdr:x>0.75969</cdr:x>
      <cdr:y>0.49122</cdr:y>
    </cdr:to>
    <cdr:sp macro="" textlink="">
      <cdr:nvSpPr>
        <cdr:cNvPr id="10" name="Text Box 10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8396" y="1201432"/>
          <a:ext cx="171893" cy="723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0.10779</cdr:x>
      <cdr:y>0.18173</cdr:y>
    </cdr:from>
    <cdr:to>
      <cdr:x>0.18443</cdr:x>
      <cdr:y>0.9679</cdr:y>
    </cdr:to>
    <cdr:sp macro="" textlink="">
      <cdr:nvSpPr>
        <cdr:cNvPr id="11" name="Text Box 10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45620" y="701046"/>
          <a:ext cx="672326" cy="3032749"/>
        </a:xfrm>
        <a:prstGeom xmlns:a="http://schemas.openxmlformats.org/drawingml/2006/main" prst="rect">
          <a:avLst/>
        </a:prstGeom>
        <a:solidFill xmlns:a="http://schemas.openxmlformats.org/drawingml/2006/main">
          <a:srgbClr val="FFCC99">
            <a:alpha val="50000"/>
          </a:srgb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endParaRPr lang="pt-BR" sz="1000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0.93683</cdr:x>
      <cdr:y>0.74709</cdr:y>
    </cdr:from>
    <cdr:to>
      <cdr:x>0.94471</cdr:x>
      <cdr:y>0.79783</cdr:y>
    </cdr:to>
    <cdr:sp macro="" textlink="">
      <cdr:nvSpPr>
        <cdr:cNvPr id="12" name="Text Box 10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59485" y="2930722"/>
          <a:ext cx="56757" cy="199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0.56892</cdr:x>
      <cdr:y>0.18272</cdr:y>
    </cdr:from>
    <cdr:to>
      <cdr:x>0.62731</cdr:x>
      <cdr:y>0.9679</cdr:y>
    </cdr:to>
    <cdr:sp macro="" textlink="">
      <cdr:nvSpPr>
        <cdr:cNvPr id="21" name="Text Box 9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90824" y="704865"/>
          <a:ext cx="512228" cy="302893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  <a:alpha val="5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="vert270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endParaRPr lang="pt-BR" sz="900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0.26521</cdr:x>
      <cdr:y>0.81728</cdr:y>
    </cdr:from>
    <cdr:to>
      <cdr:x>0.6764</cdr:x>
      <cdr:y>1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2076448" y="3152776"/>
          <a:ext cx="3219452" cy="704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pt-BR" sz="1100" b="1"/>
            <a:t>Racionamento</a:t>
          </a:r>
          <a:r>
            <a:rPr lang="pt-BR" sz="1100" b="1" baseline="0"/>
            <a:t> de energia  </a:t>
          </a:r>
        </a:p>
        <a:p xmlns:a="http://schemas.openxmlformats.org/drawingml/2006/main">
          <a:pPr algn="l"/>
          <a:r>
            <a:rPr lang="pt-BR" sz="1100" b="1" baseline="0"/>
            <a:t>(Jul/01 a set/02)</a:t>
          </a:r>
          <a:endParaRPr lang="pt-BR" sz="1100" b="1"/>
        </a:p>
      </cdr:txBody>
    </cdr:sp>
  </cdr:relSizeAnchor>
  <cdr:relSizeAnchor xmlns:cdr="http://schemas.openxmlformats.org/drawingml/2006/chartDrawing">
    <cdr:from>
      <cdr:x>0.69587</cdr:x>
      <cdr:y>0.82222</cdr:y>
    </cdr:from>
    <cdr:to>
      <cdr:x>0.99027</cdr:x>
      <cdr:y>0.95638</cdr:y>
    </cdr:to>
    <cdr:sp macro="" textlink="">
      <cdr:nvSpPr>
        <cdr:cNvPr id="22" name="CaixaDeTexto 1"/>
        <cdr:cNvSpPr txBox="1"/>
      </cdr:nvSpPr>
      <cdr:spPr>
        <a:xfrm xmlns:a="http://schemas.openxmlformats.org/drawingml/2006/main">
          <a:off x="5448325" y="3171824"/>
          <a:ext cx="2305019" cy="517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t-BR" sz="1100" b="1"/>
            <a:t>Crise Internacional </a:t>
          </a:r>
        </a:p>
        <a:p xmlns:a="http://schemas.openxmlformats.org/drawingml/2006/main">
          <a:pPr algn="l"/>
          <a:r>
            <a:rPr lang="pt-BR" sz="1100" b="1"/>
            <a:t>(Ago/08</a:t>
          </a:r>
          <a:r>
            <a:rPr lang="pt-BR" sz="1100" b="1" baseline="0"/>
            <a:t> a jul/09)</a:t>
          </a:r>
          <a:r>
            <a:rPr lang="pt-BR" sz="1100" b="1"/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C1A8-D731-40FA-A731-1E5D2FB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CDLBH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Dalcia Helena de Oliveira</cp:lastModifiedBy>
  <cp:revision>2</cp:revision>
  <cp:lastPrinted>2015-05-14T15:13:00Z</cp:lastPrinted>
  <dcterms:created xsi:type="dcterms:W3CDTF">2015-08-04T19:08:00Z</dcterms:created>
  <dcterms:modified xsi:type="dcterms:W3CDTF">2015-08-04T19:08:00Z</dcterms:modified>
</cp:coreProperties>
</file>